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pPr>
      <w:r>
        <w:br/>
      </w:r>
      <w:r>
        <w:br/>
      </w:r>
      <w:r>
        <w:br/>
      </w:r>
      <w:r>
        <w:br/>
      </w:r>
      <w:r>
        <w:br/>
      </w:r>
    </w:p>
    <w:p>
      <w:pPr>
        <w:pStyle w:val="null3"/>
        <w:jc w:val="center"/>
        <w:outlineLvl w:val="0"/>
      </w:pPr>
      <w:r>
        <w:rPr>
          <w:sz w:val="48"/>
          <w:b/>
        </w:rPr>
        <w:t>广东省政府采购</w:t>
      </w:r>
    </w:p>
    <w:p>
      <w:pPr>
        <w:pStyle w:val="null3"/>
      </w:pPr>
      <w:r>
        <w:rPr/>
        <w:t>　</w:t>
      </w:r>
    </w:p>
    <w:p>
      <w:pPr>
        <w:pStyle w:val="null3"/>
      </w:pPr>
      <w:r>
        <w:rPr/>
        <w:t>　</w:t>
      </w:r>
    </w:p>
    <w:p>
      <w:pPr>
        <w:pStyle w:val="null3"/>
      </w:pPr>
      <w:r>
        <w:rPr/>
        <w:t>　</w:t>
      </w:r>
    </w:p>
    <w:p>
      <w:pPr>
        <w:pStyle w:val="null3"/>
        <w:jc w:val="center"/>
        <w:outlineLvl w:val="0"/>
      </w:pPr>
      <w:r>
        <w:rPr>
          <w:sz w:val="48"/>
          <w:b/>
        </w:rPr>
        <w:t xml:space="preserve"> 公开招标文件</w:t>
      </w:r>
      <w:r>
        <w:br/>
      </w:r>
      <w:r>
        <w:br/>
      </w:r>
      <w:r>
        <w:br/>
      </w:r>
      <w:r>
        <w:br/>
      </w:r>
      <w:r>
        <w:br/>
      </w:r>
      <w:r>
        <w:br/>
      </w:r>
      <w:r>
        <w:br/>
      </w:r>
      <w:r>
        <w:br/>
      </w:r>
      <w:r>
        <w:br/>
      </w:r>
      <w:r>
        <w:br/>
      </w:r>
      <w:r>
        <w:br/>
      </w:r>
      <w:r>
        <w:br/>
      </w:r>
      <w:r>
        <w:br/>
      </w:r>
      <w:r>
        <w:br/>
      </w:r>
      <w:r>
        <w:br/>
      </w:r>
      <w:r>
        <w:br/>
      </w:r>
      <w:r>
        <w:br/>
      </w:r>
      <w:r>
        <w:br/>
      </w:r>
      <w:r>
        <w:br/>
      </w:r>
      <w:r>
        <w:br/>
      </w:r>
      <w:r>
        <w:br/>
      </w:r>
    </w:p>
    <w:p>
      <w:pPr>
        <w:pStyle w:val="null3"/>
        <w:jc w:val="center"/>
        <w:outlineLvl w:val="3"/>
      </w:pPr>
      <w:r>
        <w:rPr>
          <w:sz w:val="24"/>
          <w:b/>
        </w:rPr>
        <w:t>采购计划编号：</w:t>
      </w:r>
      <w:r>
        <w:rPr>
          <w:sz w:val="24"/>
          <w:b/>
        </w:rPr>
        <w:t>440001-2025-58392</w:t>
      </w:r>
    </w:p>
    <w:p>
      <w:pPr>
        <w:pStyle w:val="null3"/>
        <w:jc w:val="center"/>
        <w:outlineLvl w:val="3"/>
      </w:pPr>
      <w:r>
        <w:rPr>
          <w:sz w:val="24"/>
          <w:b/>
        </w:rPr>
        <w:t>采购项目编号：</w:t>
      </w:r>
      <w:r>
        <w:rPr>
          <w:sz w:val="24"/>
          <w:b/>
        </w:rPr>
        <w:t>1210-2541YDZB9562</w:t>
      </w:r>
    </w:p>
    <w:p>
      <w:pPr>
        <w:pStyle w:val="null3"/>
        <w:jc w:val="center"/>
        <w:outlineLvl w:val="3"/>
      </w:pPr>
      <w:r>
        <w:rPr>
          <w:sz w:val="24"/>
          <w:b/>
        </w:rPr>
        <w:t>项目名称：</w:t>
      </w:r>
      <w:r>
        <w:rPr>
          <w:sz w:val="24"/>
          <w:b/>
        </w:rPr>
        <w:t>广东交通职业技术学院智慧校园综合服务平台三期建设项目</w:t>
      </w:r>
    </w:p>
    <w:p>
      <w:pPr>
        <w:pStyle w:val="null3"/>
        <w:jc w:val="center"/>
        <w:outlineLvl w:val="3"/>
      </w:pPr>
      <w:r>
        <w:rPr>
          <w:sz w:val="24"/>
          <w:b/>
        </w:rPr>
        <w:t>采购人：</w:t>
      </w:r>
      <w:r>
        <w:rPr>
          <w:sz w:val="24"/>
          <w:b/>
        </w:rPr>
        <w:t>广东交通职业技术学院</w:t>
      </w:r>
    </w:p>
    <w:p>
      <w:pPr>
        <w:pStyle w:val="null3"/>
        <w:jc w:val="center"/>
        <w:outlineLvl w:val="3"/>
      </w:pPr>
      <w:r>
        <w:rPr>
          <w:sz w:val="24"/>
          <w:b/>
        </w:rPr>
        <w:t>采购代理机构：</w:t>
      </w:r>
      <w:r>
        <w:rPr>
          <w:sz w:val="24"/>
          <w:b/>
        </w:rPr>
        <w:t>广东有德招标采购有限公司</w:t>
      </w:r>
    </w:p>
    <w:p>
      <w:pPr>
        <w:pStyle w:val="null3"/>
        <w:ind w:firstLine="480"/>
      </w:pPr>
      <w:r>
        <w:rPr/>
        <w:t xml:space="preserve">  </w:t>
      </w:r>
      <w:r>
        <w:br/>
      </w:r>
    </w:p>
    <w:p>
      <w:pPr>
        <w:pStyle w:val="null3"/>
        <w:jc w:val="center"/>
        <w:outlineLvl w:val="1"/>
      </w:pPr>
      <w:r>
        <w:rPr>
          <w:sz w:val="36"/>
          <w:b/>
        </w:rPr>
        <w:t>第一章投标邀请</w:t>
      </w:r>
    </w:p>
    <w:p>
      <w:pPr>
        <w:pStyle w:val="null3"/>
        <w:ind w:firstLine="480"/>
      </w:pPr>
      <w:r>
        <w:rPr/>
        <w:t>广东有德招标采购有限公司</w:t>
      </w:r>
      <w:r>
        <w:rPr/>
        <w:t>受</w:t>
      </w:r>
      <w:r>
        <w:rPr/>
        <w:t>广东交通职业技术学院</w:t>
      </w:r>
      <w:r>
        <w:rPr/>
        <w:t>的委托，采用</w:t>
      </w:r>
      <w:r>
        <w:rPr/>
        <w:t>公开招标</w:t>
      </w:r>
      <w:r>
        <w:rPr/>
        <w:t>方式组织采购</w:t>
      </w:r>
      <w:r>
        <w:rPr/>
        <w:t>广东交通职业技术学院智慧校园综合服务平台三期建设项目</w:t>
      </w:r>
      <w:r>
        <w:rPr/>
        <w:t>。欢迎符合资格条件的国内供应商参加投标。</w:t>
      </w:r>
    </w:p>
    <w:p>
      <w:pPr>
        <w:pStyle w:val="null3"/>
        <w:outlineLvl w:val="2"/>
      </w:pPr>
      <w:r>
        <w:rPr>
          <w:sz w:val="28"/>
          <w:b/>
        </w:rPr>
        <w:t>一.项目概述</w:t>
      </w:r>
    </w:p>
    <w:p>
      <w:pPr>
        <w:pStyle w:val="null3"/>
        <w:outlineLvl w:val="3"/>
      </w:pPr>
      <w:r>
        <w:rPr>
          <w:sz w:val="24"/>
          <w:b/>
        </w:rPr>
        <w:t>1.名称与编号</w:t>
      </w:r>
    </w:p>
    <w:p>
      <w:pPr>
        <w:pStyle w:val="null3"/>
        <w:ind w:firstLine="480"/>
      </w:pPr>
      <w:r>
        <w:rPr/>
        <w:t>项目名称：</w:t>
      </w:r>
      <w:r>
        <w:rPr/>
        <w:t>广东交通职业技术学院智慧校园综合服务平台三期建设项目</w:t>
      </w:r>
    </w:p>
    <w:p>
      <w:pPr>
        <w:pStyle w:val="null3"/>
        <w:ind w:firstLine="480"/>
      </w:pPr>
      <w:r>
        <w:rPr/>
        <w:t>采购计划编号：</w:t>
      </w:r>
      <w:r>
        <w:rPr/>
        <w:t>440001-2025-58392</w:t>
      </w:r>
    </w:p>
    <w:p>
      <w:pPr>
        <w:pStyle w:val="null3"/>
        <w:ind w:firstLine="480"/>
      </w:pPr>
      <w:r>
        <w:rPr/>
        <w:t>采购项目编号：</w:t>
      </w:r>
      <w:r>
        <w:rPr/>
        <w:t>1210-2541YDZB9562</w:t>
      </w:r>
    </w:p>
    <w:p>
      <w:pPr>
        <w:pStyle w:val="null3"/>
        <w:ind w:firstLine="480"/>
      </w:pPr>
      <w:r>
        <w:rPr/>
        <w:t>采购方式：</w:t>
      </w:r>
      <w:r>
        <w:rPr/>
        <w:t>公开招标</w:t>
      </w:r>
    </w:p>
    <w:p>
      <w:pPr>
        <w:pStyle w:val="null3"/>
        <w:ind w:firstLine="480"/>
      </w:pPr>
      <w:r>
        <w:rPr/>
        <w:t>预算金额：</w:t>
      </w:r>
      <w:r>
        <w:rPr/>
        <w:t>1,500,000.00</w:t>
      </w:r>
      <w:r>
        <w:rPr/>
        <w:t>元</w:t>
      </w:r>
    </w:p>
    <w:p>
      <w:pPr>
        <w:pStyle w:val="null3"/>
        <w:outlineLvl w:val="3"/>
      </w:pPr>
      <w:r>
        <w:rPr>
          <w:sz w:val="24"/>
          <w:b/>
        </w:rPr>
        <w:t>2.项目内容及需求情况（采购项目技术规格、参数及要求）</w:t>
      </w:r>
    </w:p>
    <w:p>
      <w:pPr>
        <w:pStyle w:val="null3"/>
      </w:pPr>
      <w:r>
        <w:rPr/>
        <w:t>采购包1(广东交通职业技术学院智慧校园综合服务平台三期建设):</w:t>
      </w:r>
    </w:p>
    <w:p>
      <w:pPr>
        <w:pStyle w:val="null3"/>
      </w:pPr>
      <w:r>
        <w:rPr/>
        <w:t>采购包预算金额：1,500,000.00元</w:t>
      </w:r>
    </w:p>
    <w:tbl>
      <w:tblPr>
        <w:tblW w:w="0" w:type="auto"/>
        <w:tblBorders>
          <w:top w:val="single"/>
          <w:left w:val="single"/>
          <w:bottom w:val="single"/>
          <w:right w:val="single"/>
          <w:insideH w:val="single"/>
          <w:insideV w:val="single"/>
        </w:tblBorders>
      </w:tblPr>
      <w:tblGrid>
        <w:gridCol w:w="1187"/>
        <w:gridCol w:w="1424"/>
        <w:gridCol w:w="2136"/>
        <w:gridCol w:w="1187"/>
        <w:gridCol w:w="1187"/>
        <w:gridCol w:w="1187"/>
      </w:tblGrid>
      <w:tr>
        <w:tc>
          <w:tcPr>
            <w:tcW w:type="dxa" w:w="1187"/>
          </w:tcPr>
          <w:p>
            <w:pPr>
              <w:pStyle w:val="null3"/>
            </w:pPr>
            <w:r>
              <w:rPr/>
              <w:t>品目号</w:t>
            </w:r>
          </w:p>
        </w:tc>
        <w:tc>
          <w:tcPr>
            <w:tcW w:type="dxa" w:w="1424"/>
          </w:tcPr>
          <w:p>
            <w:pPr>
              <w:pStyle w:val="null3"/>
            </w:pPr>
            <w:r>
              <w:rPr/>
              <w:t>品目名称</w:t>
            </w:r>
          </w:p>
        </w:tc>
        <w:tc>
          <w:tcPr>
            <w:tcW w:type="dxa" w:w="2136"/>
          </w:tcPr>
          <w:p>
            <w:pPr>
              <w:pStyle w:val="null3"/>
            </w:pPr>
            <w:r>
              <w:rPr/>
              <w:t>采购标的</w:t>
            </w:r>
          </w:p>
        </w:tc>
        <w:tc>
          <w:tcPr>
            <w:tcW w:type="dxa" w:w="1187"/>
          </w:tcPr>
          <w:p>
            <w:pPr>
              <w:pStyle w:val="null3"/>
            </w:pPr>
            <w:r>
              <w:rPr/>
              <w:t>数量（单位）</w:t>
            </w:r>
          </w:p>
        </w:tc>
        <w:tc>
          <w:tcPr>
            <w:tcW w:type="dxa" w:w="1187"/>
          </w:tcPr>
          <w:p>
            <w:pPr>
              <w:pStyle w:val="null3"/>
            </w:pPr>
            <w:r>
              <w:rPr/>
              <w:t>技术规格、参数及要求</w:t>
            </w:r>
          </w:p>
        </w:tc>
        <w:tc>
          <w:tcPr>
            <w:tcW w:type="dxa" w:w="1187"/>
          </w:tcPr>
          <w:p>
            <w:pPr>
              <w:pStyle w:val="null3"/>
            </w:pPr>
            <w:r>
              <w:rPr/>
              <w:t>是否允许进口产品</w:t>
            </w:r>
          </w:p>
        </w:tc>
      </w:tr>
      <w:tr>
        <w:tc>
          <w:tcPr>
            <w:tcW w:type="dxa" w:w="1187"/>
          </w:tcPr>
          <w:p>
            <w:pPr>
              <w:pStyle w:val="null3"/>
            </w:pPr>
            <w:r>
              <w:rPr/>
              <w:t>1-1</w:t>
            </w:r>
          </w:p>
        </w:tc>
        <w:tc>
          <w:tcPr>
            <w:tcW w:type="dxa" w:w="1424"/>
          </w:tcPr>
          <w:p>
            <w:pPr>
              <w:pStyle w:val="null3"/>
            </w:pPr>
            <w:r>
              <w:rPr/>
              <w:t>软件集成实施服务</w:t>
            </w:r>
          </w:p>
        </w:tc>
        <w:tc>
          <w:tcPr>
            <w:tcW w:type="dxa" w:w="2136"/>
          </w:tcPr>
          <w:p>
            <w:pPr>
              <w:pStyle w:val="null3"/>
            </w:pPr>
            <w:r>
              <w:rPr/>
              <w:t>元数据</w:t>
            </w:r>
          </w:p>
        </w:tc>
        <w:tc>
          <w:tcPr>
            <w:tcW w:type="dxa" w:w="1187"/>
          </w:tcPr>
          <w:p>
            <w:pPr>
              <w:pStyle w:val="null3"/>
            </w:pPr>
            <w:r>
              <w:rPr/>
              <w:t>1(套)</w:t>
            </w:r>
          </w:p>
        </w:tc>
        <w:tc>
          <w:tcPr>
            <w:tcW w:type="dxa" w:w="1187"/>
          </w:tcPr>
          <w:p>
            <w:pPr>
              <w:pStyle w:val="null3"/>
            </w:pPr>
            <w:r>
              <w:rPr/>
              <w:t>详见第二章</w:t>
            </w:r>
          </w:p>
        </w:tc>
        <w:tc>
          <w:tcPr>
            <w:tcW w:type="dxa" w:w="1187"/>
          </w:tcPr>
          <w:p>
            <w:pPr>
              <w:pStyle w:val="null3"/>
            </w:pPr>
            <w:r>
              <w:rPr/>
              <w:t>否</w:t>
            </w:r>
          </w:p>
        </w:tc>
      </w:tr>
      <w:tr>
        <w:tc>
          <w:tcPr>
            <w:tcW w:type="dxa" w:w="1187"/>
          </w:tcPr>
          <w:p>
            <w:pPr>
              <w:pStyle w:val="null3"/>
            </w:pPr>
            <w:r>
              <w:rPr/>
              <w:t>1-2</w:t>
            </w:r>
          </w:p>
        </w:tc>
        <w:tc>
          <w:tcPr>
            <w:tcW w:type="dxa" w:w="1424"/>
          </w:tcPr>
          <w:p>
            <w:pPr>
              <w:pStyle w:val="null3"/>
            </w:pPr>
            <w:r>
              <w:rPr/>
              <w:t>软件集成实施服务</w:t>
            </w:r>
          </w:p>
        </w:tc>
        <w:tc>
          <w:tcPr>
            <w:tcW w:type="dxa" w:w="2136"/>
          </w:tcPr>
          <w:p>
            <w:pPr>
              <w:pStyle w:val="null3"/>
            </w:pPr>
            <w:r>
              <w:rPr/>
              <w:t>元数据标准</w:t>
            </w:r>
          </w:p>
        </w:tc>
        <w:tc>
          <w:tcPr>
            <w:tcW w:type="dxa" w:w="1187"/>
          </w:tcPr>
          <w:p>
            <w:pPr>
              <w:pStyle w:val="null3"/>
            </w:pPr>
            <w:r>
              <w:rPr/>
              <w:t>1(套)</w:t>
            </w:r>
          </w:p>
        </w:tc>
        <w:tc>
          <w:tcPr>
            <w:tcW w:type="dxa" w:w="1187"/>
          </w:tcPr>
          <w:p>
            <w:pPr>
              <w:pStyle w:val="null3"/>
            </w:pPr>
            <w:r>
              <w:rPr/>
              <w:t>详见第二章</w:t>
            </w:r>
          </w:p>
        </w:tc>
        <w:tc>
          <w:tcPr>
            <w:tcW w:type="dxa" w:w="1187"/>
          </w:tcPr>
          <w:p>
            <w:pPr>
              <w:pStyle w:val="null3"/>
            </w:pPr>
            <w:r>
              <w:rPr/>
              <w:t>否</w:t>
            </w:r>
          </w:p>
        </w:tc>
      </w:tr>
      <w:tr>
        <w:tc>
          <w:tcPr>
            <w:tcW w:type="dxa" w:w="1187"/>
          </w:tcPr>
          <w:p>
            <w:pPr>
              <w:pStyle w:val="null3"/>
            </w:pPr>
            <w:r>
              <w:rPr/>
              <w:t>1-3</w:t>
            </w:r>
          </w:p>
        </w:tc>
        <w:tc>
          <w:tcPr>
            <w:tcW w:type="dxa" w:w="1424"/>
          </w:tcPr>
          <w:p>
            <w:pPr>
              <w:pStyle w:val="null3"/>
            </w:pPr>
            <w:r>
              <w:rPr/>
              <w:t>软件集成实施服务</w:t>
            </w:r>
          </w:p>
        </w:tc>
        <w:tc>
          <w:tcPr>
            <w:tcW w:type="dxa" w:w="2136"/>
          </w:tcPr>
          <w:p>
            <w:pPr>
              <w:pStyle w:val="null3"/>
            </w:pPr>
            <w:r>
              <w:rPr/>
              <w:t>数据建模</w:t>
            </w:r>
          </w:p>
        </w:tc>
        <w:tc>
          <w:tcPr>
            <w:tcW w:type="dxa" w:w="1187"/>
          </w:tcPr>
          <w:p>
            <w:pPr>
              <w:pStyle w:val="null3"/>
            </w:pPr>
            <w:r>
              <w:rPr/>
              <w:t>1(套)</w:t>
            </w:r>
          </w:p>
        </w:tc>
        <w:tc>
          <w:tcPr>
            <w:tcW w:type="dxa" w:w="1187"/>
          </w:tcPr>
          <w:p>
            <w:pPr>
              <w:pStyle w:val="null3"/>
            </w:pPr>
            <w:r>
              <w:rPr/>
              <w:t>详见第二章</w:t>
            </w:r>
          </w:p>
        </w:tc>
        <w:tc>
          <w:tcPr>
            <w:tcW w:type="dxa" w:w="1187"/>
          </w:tcPr>
          <w:p>
            <w:pPr>
              <w:pStyle w:val="null3"/>
            </w:pPr>
            <w:r>
              <w:rPr/>
              <w:t>否</w:t>
            </w:r>
          </w:p>
        </w:tc>
      </w:tr>
      <w:tr>
        <w:tc>
          <w:tcPr>
            <w:tcW w:type="dxa" w:w="1187"/>
          </w:tcPr>
          <w:p>
            <w:pPr>
              <w:pStyle w:val="null3"/>
            </w:pPr>
            <w:r>
              <w:rPr/>
              <w:t>1-4</w:t>
            </w:r>
          </w:p>
        </w:tc>
        <w:tc>
          <w:tcPr>
            <w:tcW w:type="dxa" w:w="1424"/>
          </w:tcPr>
          <w:p>
            <w:pPr>
              <w:pStyle w:val="null3"/>
            </w:pPr>
            <w:r>
              <w:rPr/>
              <w:t>软件集成实施服务</w:t>
            </w:r>
          </w:p>
        </w:tc>
        <w:tc>
          <w:tcPr>
            <w:tcW w:type="dxa" w:w="2136"/>
          </w:tcPr>
          <w:p>
            <w:pPr>
              <w:pStyle w:val="null3"/>
            </w:pPr>
            <w:r>
              <w:rPr/>
              <w:t>数据中心</w:t>
            </w:r>
          </w:p>
        </w:tc>
        <w:tc>
          <w:tcPr>
            <w:tcW w:type="dxa" w:w="1187"/>
          </w:tcPr>
          <w:p>
            <w:pPr>
              <w:pStyle w:val="null3"/>
            </w:pPr>
            <w:r>
              <w:rPr/>
              <w:t>1(套)</w:t>
            </w:r>
          </w:p>
        </w:tc>
        <w:tc>
          <w:tcPr>
            <w:tcW w:type="dxa" w:w="1187"/>
          </w:tcPr>
          <w:p>
            <w:pPr>
              <w:pStyle w:val="null3"/>
            </w:pPr>
            <w:r>
              <w:rPr/>
              <w:t>详见第二章</w:t>
            </w:r>
          </w:p>
        </w:tc>
        <w:tc>
          <w:tcPr>
            <w:tcW w:type="dxa" w:w="1187"/>
          </w:tcPr>
          <w:p>
            <w:pPr>
              <w:pStyle w:val="null3"/>
            </w:pPr>
            <w:r>
              <w:rPr/>
              <w:t>否</w:t>
            </w:r>
          </w:p>
        </w:tc>
      </w:tr>
      <w:tr>
        <w:tc>
          <w:tcPr>
            <w:tcW w:type="dxa" w:w="1187"/>
          </w:tcPr>
          <w:p>
            <w:pPr>
              <w:pStyle w:val="null3"/>
            </w:pPr>
            <w:r>
              <w:rPr/>
              <w:t>1-5</w:t>
            </w:r>
          </w:p>
        </w:tc>
        <w:tc>
          <w:tcPr>
            <w:tcW w:type="dxa" w:w="1424"/>
          </w:tcPr>
          <w:p>
            <w:pPr>
              <w:pStyle w:val="null3"/>
            </w:pPr>
            <w:r>
              <w:rPr/>
              <w:t>软件集成实施服务</w:t>
            </w:r>
          </w:p>
        </w:tc>
        <w:tc>
          <w:tcPr>
            <w:tcW w:type="dxa" w:w="2136"/>
          </w:tcPr>
          <w:p>
            <w:pPr>
              <w:pStyle w:val="null3"/>
            </w:pPr>
            <w:r>
              <w:rPr/>
              <w:t>数据资产</w:t>
            </w:r>
          </w:p>
        </w:tc>
        <w:tc>
          <w:tcPr>
            <w:tcW w:type="dxa" w:w="1187"/>
          </w:tcPr>
          <w:p>
            <w:pPr>
              <w:pStyle w:val="null3"/>
            </w:pPr>
            <w:r>
              <w:rPr/>
              <w:t>1(套)</w:t>
            </w:r>
          </w:p>
        </w:tc>
        <w:tc>
          <w:tcPr>
            <w:tcW w:type="dxa" w:w="1187"/>
          </w:tcPr>
          <w:p>
            <w:pPr>
              <w:pStyle w:val="null3"/>
            </w:pPr>
            <w:r>
              <w:rPr/>
              <w:t>详见第二章</w:t>
            </w:r>
          </w:p>
        </w:tc>
        <w:tc>
          <w:tcPr>
            <w:tcW w:type="dxa" w:w="1187"/>
          </w:tcPr>
          <w:p>
            <w:pPr>
              <w:pStyle w:val="null3"/>
            </w:pPr>
            <w:r>
              <w:rPr/>
              <w:t>否</w:t>
            </w:r>
          </w:p>
        </w:tc>
      </w:tr>
      <w:tr>
        <w:tc>
          <w:tcPr>
            <w:tcW w:type="dxa" w:w="1187"/>
          </w:tcPr>
          <w:p>
            <w:pPr>
              <w:pStyle w:val="null3"/>
            </w:pPr>
            <w:r>
              <w:rPr/>
              <w:t>1-6</w:t>
            </w:r>
          </w:p>
        </w:tc>
        <w:tc>
          <w:tcPr>
            <w:tcW w:type="dxa" w:w="1424"/>
          </w:tcPr>
          <w:p>
            <w:pPr>
              <w:pStyle w:val="null3"/>
            </w:pPr>
            <w:r>
              <w:rPr/>
              <w:t>软件集成实施服务</w:t>
            </w:r>
          </w:p>
        </w:tc>
        <w:tc>
          <w:tcPr>
            <w:tcW w:type="dxa" w:w="2136"/>
          </w:tcPr>
          <w:p>
            <w:pPr>
              <w:pStyle w:val="null3"/>
            </w:pPr>
            <w:r>
              <w:rPr/>
              <w:t>数据集成</w:t>
            </w:r>
          </w:p>
        </w:tc>
        <w:tc>
          <w:tcPr>
            <w:tcW w:type="dxa" w:w="1187"/>
          </w:tcPr>
          <w:p>
            <w:pPr>
              <w:pStyle w:val="null3"/>
            </w:pPr>
            <w:r>
              <w:rPr/>
              <w:t>1(套)</w:t>
            </w:r>
          </w:p>
        </w:tc>
        <w:tc>
          <w:tcPr>
            <w:tcW w:type="dxa" w:w="1187"/>
          </w:tcPr>
          <w:p>
            <w:pPr>
              <w:pStyle w:val="null3"/>
            </w:pPr>
            <w:r>
              <w:rPr/>
              <w:t>详见第二章</w:t>
            </w:r>
          </w:p>
        </w:tc>
        <w:tc>
          <w:tcPr>
            <w:tcW w:type="dxa" w:w="1187"/>
          </w:tcPr>
          <w:p>
            <w:pPr>
              <w:pStyle w:val="null3"/>
            </w:pPr>
            <w:r>
              <w:rPr/>
              <w:t>否</w:t>
            </w:r>
          </w:p>
        </w:tc>
      </w:tr>
      <w:tr>
        <w:tc>
          <w:tcPr>
            <w:tcW w:type="dxa" w:w="1187"/>
          </w:tcPr>
          <w:p>
            <w:pPr>
              <w:pStyle w:val="null3"/>
            </w:pPr>
            <w:r>
              <w:rPr/>
              <w:t>1-7</w:t>
            </w:r>
          </w:p>
        </w:tc>
        <w:tc>
          <w:tcPr>
            <w:tcW w:type="dxa" w:w="1424"/>
          </w:tcPr>
          <w:p>
            <w:pPr>
              <w:pStyle w:val="null3"/>
            </w:pPr>
            <w:r>
              <w:rPr/>
              <w:t>软件集成实施服务</w:t>
            </w:r>
          </w:p>
        </w:tc>
        <w:tc>
          <w:tcPr>
            <w:tcW w:type="dxa" w:w="2136"/>
          </w:tcPr>
          <w:p>
            <w:pPr>
              <w:pStyle w:val="null3"/>
            </w:pPr>
            <w:r>
              <w:rPr/>
              <w:t>数据质量</w:t>
            </w:r>
          </w:p>
        </w:tc>
        <w:tc>
          <w:tcPr>
            <w:tcW w:type="dxa" w:w="1187"/>
          </w:tcPr>
          <w:p>
            <w:pPr>
              <w:pStyle w:val="null3"/>
            </w:pPr>
            <w:r>
              <w:rPr/>
              <w:t>1(套)</w:t>
            </w:r>
          </w:p>
        </w:tc>
        <w:tc>
          <w:tcPr>
            <w:tcW w:type="dxa" w:w="1187"/>
          </w:tcPr>
          <w:p>
            <w:pPr>
              <w:pStyle w:val="null3"/>
            </w:pPr>
            <w:r>
              <w:rPr/>
              <w:t>详见第二章</w:t>
            </w:r>
          </w:p>
        </w:tc>
        <w:tc>
          <w:tcPr>
            <w:tcW w:type="dxa" w:w="1187"/>
          </w:tcPr>
          <w:p>
            <w:pPr>
              <w:pStyle w:val="null3"/>
            </w:pPr>
            <w:r>
              <w:rPr/>
              <w:t>否</w:t>
            </w:r>
          </w:p>
        </w:tc>
      </w:tr>
      <w:tr>
        <w:tc>
          <w:tcPr>
            <w:tcW w:type="dxa" w:w="1187"/>
          </w:tcPr>
          <w:p>
            <w:pPr>
              <w:pStyle w:val="null3"/>
            </w:pPr>
            <w:r>
              <w:rPr/>
              <w:t>1-8</w:t>
            </w:r>
          </w:p>
        </w:tc>
        <w:tc>
          <w:tcPr>
            <w:tcW w:type="dxa" w:w="1424"/>
          </w:tcPr>
          <w:p>
            <w:pPr>
              <w:pStyle w:val="null3"/>
            </w:pPr>
            <w:r>
              <w:rPr/>
              <w:t>软件集成实施服务</w:t>
            </w:r>
          </w:p>
        </w:tc>
        <w:tc>
          <w:tcPr>
            <w:tcW w:type="dxa" w:w="2136"/>
          </w:tcPr>
          <w:p>
            <w:pPr>
              <w:pStyle w:val="null3"/>
            </w:pPr>
            <w:r>
              <w:rPr/>
              <w:t>数据安全</w:t>
            </w:r>
          </w:p>
        </w:tc>
        <w:tc>
          <w:tcPr>
            <w:tcW w:type="dxa" w:w="1187"/>
          </w:tcPr>
          <w:p>
            <w:pPr>
              <w:pStyle w:val="null3"/>
            </w:pPr>
            <w:r>
              <w:rPr/>
              <w:t>1(套)</w:t>
            </w:r>
          </w:p>
        </w:tc>
        <w:tc>
          <w:tcPr>
            <w:tcW w:type="dxa" w:w="1187"/>
          </w:tcPr>
          <w:p>
            <w:pPr>
              <w:pStyle w:val="null3"/>
            </w:pPr>
            <w:r>
              <w:rPr/>
              <w:t>详见第二章</w:t>
            </w:r>
          </w:p>
        </w:tc>
        <w:tc>
          <w:tcPr>
            <w:tcW w:type="dxa" w:w="1187"/>
          </w:tcPr>
          <w:p>
            <w:pPr>
              <w:pStyle w:val="null3"/>
            </w:pPr>
            <w:r>
              <w:rPr/>
              <w:t>否</w:t>
            </w:r>
          </w:p>
        </w:tc>
      </w:tr>
      <w:tr>
        <w:tc>
          <w:tcPr>
            <w:tcW w:type="dxa" w:w="1187"/>
          </w:tcPr>
          <w:p>
            <w:pPr>
              <w:pStyle w:val="null3"/>
            </w:pPr>
            <w:r>
              <w:rPr/>
              <w:t>1-9</w:t>
            </w:r>
          </w:p>
        </w:tc>
        <w:tc>
          <w:tcPr>
            <w:tcW w:type="dxa" w:w="1424"/>
          </w:tcPr>
          <w:p>
            <w:pPr>
              <w:pStyle w:val="null3"/>
            </w:pPr>
            <w:r>
              <w:rPr/>
              <w:t>软件集成实施服务</w:t>
            </w:r>
          </w:p>
        </w:tc>
        <w:tc>
          <w:tcPr>
            <w:tcW w:type="dxa" w:w="2136"/>
          </w:tcPr>
          <w:p>
            <w:pPr>
              <w:pStyle w:val="null3"/>
            </w:pPr>
            <w:r>
              <w:rPr/>
              <w:t>元数据中心建设服务</w:t>
            </w:r>
          </w:p>
        </w:tc>
        <w:tc>
          <w:tcPr>
            <w:tcW w:type="dxa" w:w="1187"/>
          </w:tcPr>
          <w:p>
            <w:pPr>
              <w:pStyle w:val="null3"/>
            </w:pPr>
            <w:r>
              <w:rPr/>
              <w:t>1(项)</w:t>
            </w:r>
          </w:p>
        </w:tc>
        <w:tc>
          <w:tcPr>
            <w:tcW w:type="dxa" w:w="1187"/>
          </w:tcPr>
          <w:p>
            <w:pPr>
              <w:pStyle w:val="null3"/>
            </w:pPr>
            <w:r>
              <w:rPr/>
              <w:t>详见第二章</w:t>
            </w:r>
          </w:p>
        </w:tc>
        <w:tc>
          <w:tcPr>
            <w:tcW w:type="dxa" w:w="1187"/>
          </w:tcPr>
          <w:p>
            <w:pPr>
              <w:pStyle w:val="null3"/>
            </w:pPr>
            <w:r>
              <w:rPr/>
              <w:t>否</w:t>
            </w:r>
          </w:p>
        </w:tc>
      </w:tr>
      <w:tr>
        <w:tc>
          <w:tcPr>
            <w:tcW w:type="dxa" w:w="1187"/>
          </w:tcPr>
          <w:p>
            <w:pPr>
              <w:pStyle w:val="null3"/>
            </w:pPr>
            <w:r>
              <w:rPr/>
              <w:t>1-10</w:t>
            </w:r>
          </w:p>
        </w:tc>
        <w:tc>
          <w:tcPr>
            <w:tcW w:type="dxa" w:w="1424"/>
          </w:tcPr>
          <w:p>
            <w:pPr>
              <w:pStyle w:val="null3"/>
            </w:pPr>
            <w:r>
              <w:rPr/>
              <w:t>软件集成实施服务</w:t>
            </w:r>
          </w:p>
        </w:tc>
        <w:tc>
          <w:tcPr>
            <w:tcW w:type="dxa" w:w="2136"/>
          </w:tcPr>
          <w:p>
            <w:pPr>
              <w:pStyle w:val="null3"/>
            </w:pPr>
            <w:r>
              <w:rPr/>
              <w:t>校级数据标准建设服务</w:t>
            </w:r>
          </w:p>
        </w:tc>
        <w:tc>
          <w:tcPr>
            <w:tcW w:type="dxa" w:w="1187"/>
          </w:tcPr>
          <w:p>
            <w:pPr>
              <w:pStyle w:val="null3"/>
            </w:pPr>
            <w:r>
              <w:rPr/>
              <w:t>1(项)</w:t>
            </w:r>
          </w:p>
        </w:tc>
        <w:tc>
          <w:tcPr>
            <w:tcW w:type="dxa" w:w="1187"/>
          </w:tcPr>
          <w:p>
            <w:pPr>
              <w:pStyle w:val="null3"/>
            </w:pPr>
            <w:r>
              <w:rPr/>
              <w:t>详见第二章</w:t>
            </w:r>
          </w:p>
        </w:tc>
        <w:tc>
          <w:tcPr>
            <w:tcW w:type="dxa" w:w="1187"/>
          </w:tcPr>
          <w:p>
            <w:pPr>
              <w:pStyle w:val="null3"/>
            </w:pPr>
            <w:r>
              <w:rPr/>
              <w:t>否</w:t>
            </w:r>
          </w:p>
        </w:tc>
      </w:tr>
      <w:tr>
        <w:tc>
          <w:tcPr>
            <w:tcW w:type="dxa" w:w="1187"/>
          </w:tcPr>
          <w:p>
            <w:pPr>
              <w:pStyle w:val="null3"/>
            </w:pPr>
            <w:r>
              <w:rPr/>
              <w:t>1-11</w:t>
            </w:r>
          </w:p>
        </w:tc>
        <w:tc>
          <w:tcPr>
            <w:tcW w:type="dxa" w:w="1424"/>
          </w:tcPr>
          <w:p>
            <w:pPr>
              <w:pStyle w:val="null3"/>
            </w:pPr>
            <w:r>
              <w:rPr/>
              <w:t>软件集成实施服务</w:t>
            </w:r>
          </w:p>
        </w:tc>
        <w:tc>
          <w:tcPr>
            <w:tcW w:type="dxa" w:w="2136"/>
          </w:tcPr>
          <w:p>
            <w:pPr>
              <w:pStyle w:val="null3"/>
            </w:pPr>
            <w:r>
              <w:rPr/>
              <w:t>数据建模服务</w:t>
            </w:r>
          </w:p>
        </w:tc>
        <w:tc>
          <w:tcPr>
            <w:tcW w:type="dxa" w:w="1187"/>
          </w:tcPr>
          <w:p>
            <w:pPr>
              <w:pStyle w:val="null3"/>
            </w:pPr>
            <w:r>
              <w:rPr/>
              <w:t>1(项)</w:t>
            </w:r>
          </w:p>
        </w:tc>
        <w:tc>
          <w:tcPr>
            <w:tcW w:type="dxa" w:w="1187"/>
          </w:tcPr>
          <w:p>
            <w:pPr>
              <w:pStyle w:val="null3"/>
            </w:pPr>
            <w:r>
              <w:rPr/>
              <w:t>详见第二章</w:t>
            </w:r>
          </w:p>
        </w:tc>
        <w:tc>
          <w:tcPr>
            <w:tcW w:type="dxa" w:w="1187"/>
          </w:tcPr>
          <w:p>
            <w:pPr>
              <w:pStyle w:val="null3"/>
            </w:pPr>
            <w:r>
              <w:rPr/>
              <w:t>否</w:t>
            </w:r>
          </w:p>
        </w:tc>
      </w:tr>
      <w:tr>
        <w:tc>
          <w:tcPr>
            <w:tcW w:type="dxa" w:w="1187"/>
          </w:tcPr>
          <w:p>
            <w:pPr>
              <w:pStyle w:val="null3"/>
            </w:pPr>
            <w:r>
              <w:rPr/>
              <w:t>1-12</w:t>
            </w:r>
          </w:p>
        </w:tc>
        <w:tc>
          <w:tcPr>
            <w:tcW w:type="dxa" w:w="1424"/>
          </w:tcPr>
          <w:p>
            <w:pPr>
              <w:pStyle w:val="null3"/>
            </w:pPr>
            <w:r>
              <w:rPr/>
              <w:t>软件集成实施服务</w:t>
            </w:r>
          </w:p>
        </w:tc>
        <w:tc>
          <w:tcPr>
            <w:tcW w:type="dxa" w:w="2136"/>
          </w:tcPr>
          <w:p>
            <w:pPr>
              <w:pStyle w:val="null3"/>
            </w:pPr>
            <w:r>
              <w:rPr/>
              <w:t>共享数据中心迁移服务</w:t>
            </w:r>
          </w:p>
        </w:tc>
        <w:tc>
          <w:tcPr>
            <w:tcW w:type="dxa" w:w="1187"/>
          </w:tcPr>
          <w:p>
            <w:pPr>
              <w:pStyle w:val="null3"/>
            </w:pPr>
            <w:r>
              <w:rPr/>
              <w:t>1(项)</w:t>
            </w:r>
          </w:p>
        </w:tc>
        <w:tc>
          <w:tcPr>
            <w:tcW w:type="dxa" w:w="1187"/>
          </w:tcPr>
          <w:p>
            <w:pPr>
              <w:pStyle w:val="null3"/>
            </w:pPr>
            <w:r>
              <w:rPr/>
              <w:t>详见第二章</w:t>
            </w:r>
          </w:p>
        </w:tc>
        <w:tc>
          <w:tcPr>
            <w:tcW w:type="dxa" w:w="1187"/>
          </w:tcPr>
          <w:p>
            <w:pPr>
              <w:pStyle w:val="null3"/>
            </w:pPr>
            <w:r>
              <w:rPr/>
              <w:t>否</w:t>
            </w:r>
          </w:p>
        </w:tc>
      </w:tr>
      <w:tr>
        <w:tc>
          <w:tcPr>
            <w:tcW w:type="dxa" w:w="1187"/>
          </w:tcPr>
          <w:p>
            <w:pPr>
              <w:pStyle w:val="null3"/>
            </w:pPr>
            <w:r>
              <w:rPr/>
              <w:t>1-13</w:t>
            </w:r>
          </w:p>
        </w:tc>
        <w:tc>
          <w:tcPr>
            <w:tcW w:type="dxa" w:w="1424"/>
          </w:tcPr>
          <w:p>
            <w:pPr>
              <w:pStyle w:val="null3"/>
            </w:pPr>
            <w:r>
              <w:rPr/>
              <w:t>软件集成实施服务</w:t>
            </w:r>
          </w:p>
        </w:tc>
        <w:tc>
          <w:tcPr>
            <w:tcW w:type="dxa" w:w="2136"/>
          </w:tcPr>
          <w:p>
            <w:pPr>
              <w:pStyle w:val="null3"/>
            </w:pPr>
            <w:r>
              <w:rPr/>
              <w:t>数据集成清洗服务</w:t>
            </w:r>
          </w:p>
        </w:tc>
        <w:tc>
          <w:tcPr>
            <w:tcW w:type="dxa" w:w="1187"/>
          </w:tcPr>
          <w:p>
            <w:pPr>
              <w:pStyle w:val="null3"/>
            </w:pPr>
            <w:r>
              <w:rPr/>
              <w:t>1(项)</w:t>
            </w:r>
          </w:p>
        </w:tc>
        <w:tc>
          <w:tcPr>
            <w:tcW w:type="dxa" w:w="1187"/>
          </w:tcPr>
          <w:p>
            <w:pPr>
              <w:pStyle w:val="null3"/>
            </w:pPr>
            <w:r>
              <w:rPr/>
              <w:t>详见第二章</w:t>
            </w:r>
          </w:p>
        </w:tc>
        <w:tc>
          <w:tcPr>
            <w:tcW w:type="dxa" w:w="1187"/>
          </w:tcPr>
          <w:p>
            <w:pPr>
              <w:pStyle w:val="null3"/>
            </w:pPr>
            <w:r>
              <w:rPr/>
              <w:t>否</w:t>
            </w:r>
          </w:p>
        </w:tc>
      </w:tr>
      <w:tr>
        <w:tc>
          <w:tcPr>
            <w:tcW w:type="dxa" w:w="1187"/>
          </w:tcPr>
          <w:p>
            <w:pPr>
              <w:pStyle w:val="null3"/>
            </w:pPr>
            <w:r>
              <w:rPr/>
              <w:t>1-14</w:t>
            </w:r>
          </w:p>
        </w:tc>
        <w:tc>
          <w:tcPr>
            <w:tcW w:type="dxa" w:w="1424"/>
          </w:tcPr>
          <w:p>
            <w:pPr>
              <w:pStyle w:val="null3"/>
            </w:pPr>
            <w:r>
              <w:rPr/>
              <w:t>软件集成实施服务</w:t>
            </w:r>
          </w:p>
        </w:tc>
        <w:tc>
          <w:tcPr>
            <w:tcW w:type="dxa" w:w="2136"/>
          </w:tcPr>
          <w:p>
            <w:pPr>
              <w:pStyle w:val="null3"/>
            </w:pPr>
            <w:r>
              <w:rPr/>
              <w:t>数据共享服务</w:t>
            </w:r>
          </w:p>
        </w:tc>
        <w:tc>
          <w:tcPr>
            <w:tcW w:type="dxa" w:w="1187"/>
          </w:tcPr>
          <w:p>
            <w:pPr>
              <w:pStyle w:val="null3"/>
            </w:pPr>
            <w:r>
              <w:rPr/>
              <w:t>1(项)</w:t>
            </w:r>
          </w:p>
        </w:tc>
        <w:tc>
          <w:tcPr>
            <w:tcW w:type="dxa" w:w="1187"/>
          </w:tcPr>
          <w:p>
            <w:pPr>
              <w:pStyle w:val="null3"/>
            </w:pPr>
            <w:r>
              <w:rPr/>
              <w:t>详见第二章</w:t>
            </w:r>
          </w:p>
        </w:tc>
        <w:tc>
          <w:tcPr>
            <w:tcW w:type="dxa" w:w="1187"/>
          </w:tcPr>
          <w:p>
            <w:pPr>
              <w:pStyle w:val="null3"/>
            </w:pPr>
            <w:r>
              <w:rPr/>
              <w:t>否</w:t>
            </w:r>
          </w:p>
        </w:tc>
      </w:tr>
      <w:tr>
        <w:tc>
          <w:tcPr>
            <w:tcW w:type="dxa" w:w="1187"/>
          </w:tcPr>
          <w:p>
            <w:pPr>
              <w:pStyle w:val="null3"/>
            </w:pPr>
            <w:r>
              <w:rPr/>
              <w:t>1-15</w:t>
            </w:r>
          </w:p>
        </w:tc>
        <w:tc>
          <w:tcPr>
            <w:tcW w:type="dxa" w:w="1424"/>
          </w:tcPr>
          <w:p>
            <w:pPr>
              <w:pStyle w:val="null3"/>
            </w:pPr>
            <w:r>
              <w:rPr/>
              <w:t>软件集成实施服务</w:t>
            </w:r>
          </w:p>
        </w:tc>
        <w:tc>
          <w:tcPr>
            <w:tcW w:type="dxa" w:w="2136"/>
          </w:tcPr>
          <w:p>
            <w:pPr>
              <w:pStyle w:val="null3"/>
            </w:pPr>
            <w:r>
              <w:rPr/>
              <w:t>校情概况驾驶舱</w:t>
            </w:r>
          </w:p>
        </w:tc>
        <w:tc>
          <w:tcPr>
            <w:tcW w:type="dxa" w:w="1187"/>
          </w:tcPr>
          <w:p>
            <w:pPr>
              <w:pStyle w:val="null3"/>
            </w:pPr>
            <w:r>
              <w:rPr/>
              <w:t>1(套)</w:t>
            </w:r>
          </w:p>
        </w:tc>
        <w:tc>
          <w:tcPr>
            <w:tcW w:type="dxa" w:w="1187"/>
          </w:tcPr>
          <w:p>
            <w:pPr>
              <w:pStyle w:val="null3"/>
            </w:pPr>
            <w:r>
              <w:rPr/>
              <w:t>详见第二章</w:t>
            </w:r>
          </w:p>
        </w:tc>
        <w:tc>
          <w:tcPr>
            <w:tcW w:type="dxa" w:w="1187"/>
          </w:tcPr>
          <w:p>
            <w:pPr>
              <w:pStyle w:val="null3"/>
            </w:pPr>
            <w:r>
              <w:rPr/>
              <w:t>否</w:t>
            </w:r>
          </w:p>
        </w:tc>
      </w:tr>
      <w:tr>
        <w:tc>
          <w:tcPr>
            <w:tcW w:type="dxa" w:w="1187"/>
          </w:tcPr>
          <w:p>
            <w:pPr>
              <w:pStyle w:val="null3"/>
            </w:pPr>
            <w:r>
              <w:rPr/>
              <w:t>1-16</w:t>
            </w:r>
          </w:p>
        </w:tc>
        <w:tc>
          <w:tcPr>
            <w:tcW w:type="dxa" w:w="1424"/>
          </w:tcPr>
          <w:p>
            <w:pPr>
              <w:pStyle w:val="null3"/>
            </w:pPr>
            <w:r>
              <w:rPr/>
              <w:t>软件集成实施服务</w:t>
            </w:r>
          </w:p>
        </w:tc>
        <w:tc>
          <w:tcPr>
            <w:tcW w:type="dxa" w:w="2136"/>
          </w:tcPr>
          <w:p>
            <w:pPr>
              <w:pStyle w:val="null3"/>
            </w:pPr>
            <w:r>
              <w:rPr/>
              <w:t>师资力量驾驶舱</w:t>
            </w:r>
          </w:p>
        </w:tc>
        <w:tc>
          <w:tcPr>
            <w:tcW w:type="dxa" w:w="1187"/>
          </w:tcPr>
          <w:p>
            <w:pPr>
              <w:pStyle w:val="null3"/>
            </w:pPr>
            <w:r>
              <w:rPr/>
              <w:t>1(套)</w:t>
            </w:r>
          </w:p>
        </w:tc>
        <w:tc>
          <w:tcPr>
            <w:tcW w:type="dxa" w:w="1187"/>
          </w:tcPr>
          <w:p>
            <w:pPr>
              <w:pStyle w:val="null3"/>
            </w:pPr>
            <w:r>
              <w:rPr/>
              <w:t>详见第二章</w:t>
            </w:r>
          </w:p>
        </w:tc>
        <w:tc>
          <w:tcPr>
            <w:tcW w:type="dxa" w:w="1187"/>
          </w:tcPr>
          <w:p>
            <w:pPr>
              <w:pStyle w:val="null3"/>
            </w:pPr>
            <w:r>
              <w:rPr/>
              <w:t>否</w:t>
            </w:r>
          </w:p>
        </w:tc>
      </w:tr>
      <w:tr>
        <w:tc>
          <w:tcPr>
            <w:tcW w:type="dxa" w:w="1187"/>
          </w:tcPr>
          <w:p>
            <w:pPr>
              <w:pStyle w:val="null3"/>
            </w:pPr>
            <w:r>
              <w:rPr/>
              <w:t>1-17</w:t>
            </w:r>
          </w:p>
        </w:tc>
        <w:tc>
          <w:tcPr>
            <w:tcW w:type="dxa" w:w="1424"/>
          </w:tcPr>
          <w:p>
            <w:pPr>
              <w:pStyle w:val="null3"/>
            </w:pPr>
            <w:r>
              <w:rPr/>
              <w:t>软件集成实施服务</w:t>
            </w:r>
          </w:p>
        </w:tc>
        <w:tc>
          <w:tcPr>
            <w:tcW w:type="dxa" w:w="2136"/>
          </w:tcPr>
          <w:p>
            <w:pPr>
              <w:pStyle w:val="null3"/>
            </w:pPr>
            <w:r>
              <w:rPr/>
              <w:t>学生工作驾驶舱</w:t>
            </w:r>
          </w:p>
        </w:tc>
        <w:tc>
          <w:tcPr>
            <w:tcW w:type="dxa" w:w="1187"/>
          </w:tcPr>
          <w:p>
            <w:pPr>
              <w:pStyle w:val="null3"/>
            </w:pPr>
            <w:r>
              <w:rPr/>
              <w:t>1(套)</w:t>
            </w:r>
          </w:p>
        </w:tc>
        <w:tc>
          <w:tcPr>
            <w:tcW w:type="dxa" w:w="1187"/>
          </w:tcPr>
          <w:p>
            <w:pPr>
              <w:pStyle w:val="null3"/>
            </w:pPr>
            <w:r>
              <w:rPr/>
              <w:t>详见第二章</w:t>
            </w:r>
          </w:p>
        </w:tc>
        <w:tc>
          <w:tcPr>
            <w:tcW w:type="dxa" w:w="1187"/>
          </w:tcPr>
          <w:p>
            <w:pPr>
              <w:pStyle w:val="null3"/>
            </w:pPr>
            <w:r>
              <w:rPr/>
              <w:t>否</w:t>
            </w:r>
          </w:p>
        </w:tc>
      </w:tr>
      <w:tr>
        <w:tc>
          <w:tcPr>
            <w:tcW w:type="dxa" w:w="1187"/>
          </w:tcPr>
          <w:p>
            <w:pPr>
              <w:pStyle w:val="null3"/>
            </w:pPr>
            <w:r>
              <w:rPr/>
              <w:t>1-18</w:t>
            </w:r>
          </w:p>
        </w:tc>
        <w:tc>
          <w:tcPr>
            <w:tcW w:type="dxa" w:w="1424"/>
          </w:tcPr>
          <w:p>
            <w:pPr>
              <w:pStyle w:val="null3"/>
            </w:pPr>
            <w:r>
              <w:rPr/>
              <w:t>软件集成实施服务</w:t>
            </w:r>
          </w:p>
        </w:tc>
        <w:tc>
          <w:tcPr>
            <w:tcW w:type="dxa" w:w="2136"/>
          </w:tcPr>
          <w:p>
            <w:pPr>
              <w:pStyle w:val="null3"/>
            </w:pPr>
            <w:r>
              <w:rPr/>
              <w:t>学籍监控驾驶舱</w:t>
            </w:r>
          </w:p>
        </w:tc>
        <w:tc>
          <w:tcPr>
            <w:tcW w:type="dxa" w:w="1187"/>
          </w:tcPr>
          <w:p>
            <w:pPr>
              <w:pStyle w:val="null3"/>
            </w:pPr>
            <w:r>
              <w:rPr/>
              <w:t>1(套)</w:t>
            </w:r>
          </w:p>
        </w:tc>
        <w:tc>
          <w:tcPr>
            <w:tcW w:type="dxa" w:w="1187"/>
          </w:tcPr>
          <w:p>
            <w:pPr>
              <w:pStyle w:val="null3"/>
            </w:pPr>
            <w:r>
              <w:rPr/>
              <w:t>详见第二章</w:t>
            </w:r>
          </w:p>
        </w:tc>
        <w:tc>
          <w:tcPr>
            <w:tcW w:type="dxa" w:w="1187"/>
          </w:tcPr>
          <w:p>
            <w:pPr>
              <w:pStyle w:val="null3"/>
            </w:pPr>
            <w:r>
              <w:rPr/>
              <w:t>否</w:t>
            </w:r>
          </w:p>
        </w:tc>
      </w:tr>
      <w:tr>
        <w:tc>
          <w:tcPr>
            <w:tcW w:type="dxa" w:w="1187"/>
          </w:tcPr>
          <w:p>
            <w:pPr>
              <w:pStyle w:val="null3"/>
            </w:pPr>
            <w:r>
              <w:rPr/>
              <w:t>1-19</w:t>
            </w:r>
          </w:p>
        </w:tc>
        <w:tc>
          <w:tcPr>
            <w:tcW w:type="dxa" w:w="1424"/>
          </w:tcPr>
          <w:p>
            <w:pPr>
              <w:pStyle w:val="null3"/>
            </w:pPr>
            <w:r>
              <w:rPr/>
              <w:t>软件集成实施服务</w:t>
            </w:r>
          </w:p>
        </w:tc>
        <w:tc>
          <w:tcPr>
            <w:tcW w:type="dxa" w:w="2136"/>
          </w:tcPr>
          <w:p>
            <w:pPr>
              <w:pStyle w:val="null3"/>
            </w:pPr>
            <w:r>
              <w:rPr/>
              <w:t>数字智治驾驶舱</w:t>
            </w:r>
          </w:p>
        </w:tc>
        <w:tc>
          <w:tcPr>
            <w:tcW w:type="dxa" w:w="1187"/>
          </w:tcPr>
          <w:p>
            <w:pPr>
              <w:pStyle w:val="null3"/>
            </w:pPr>
            <w:r>
              <w:rPr/>
              <w:t>1(套)</w:t>
            </w:r>
          </w:p>
        </w:tc>
        <w:tc>
          <w:tcPr>
            <w:tcW w:type="dxa" w:w="1187"/>
          </w:tcPr>
          <w:p>
            <w:pPr>
              <w:pStyle w:val="null3"/>
            </w:pPr>
            <w:r>
              <w:rPr/>
              <w:t>详见第二章</w:t>
            </w:r>
          </w:p>
        </w:tc>
        <w:tc>
          <w:tcPr>
            <w:tcW w:type="dxa" w:w="1187"/>
          </w:tcPr>
          <w:p>
            <w:pPr>
              <w:pStyle w:val="null3"/>
            </w:pPr>
            <w:r>
              <w:rPr/>
              <w:t>否</w:t>
            </w:r>
          </w:p>
        </w:tc>
      </w:tr>
      <w:tr>
        <w:tc>
          <w:tcPr>
            <w:tcW w:type="dxa" w:w="1187"/>
          </w:tcPr>
          <w:p>
            <w:pPr>
              <w:pStyle w:val="null3"/>
            </w:pPr>
            <w:r>
              <w:rPr/>
              <w:t>1-20</w:t>
            </w:r>
          </w:p>
        </w:tc>
        <w:tc>
          <w:tcPr>
            <w:tcW w:type="dxa" w:w="1424"/>
          </w:tcPr>
          <w:p>
            <w:pPr>
              <w:pStyle w:val="null3"/>
            </w:pPr>
            <w:r>
              <w:rPr/>
              <w:t>软件集成实施服务</w:t>
            </w:r>
          </w:p>
        </w:tc>
        <w:tc>
          <w:tcPr>
            <w:tcW w:type="dxa" w:w="2136"/>
          </w:tcPr>
          <w:p>
            <w:pPr>
              <w:pStyle w:val="null3"/>
            </w:pPr>
            <w:r>
              <w:rPr/>
              <w:t>数字教学驾驶舱</w:t>
            </w:r>
          </w:p>
        </w:tc>
        <w:tc>
          <w:tcPr>
            <w:tcW w:type="dxa" w:w="1187"/>
          </w:tcPr>
          <w:p>
            <w:pPr>
              <w:pStyle w:val="null3"/>
            </w:pPr>
            <w:r>
              <w:rPr/>
              <w:t>1(套)</w:t>
            </w:r>
          </w:p>
        </w:tc>
        <w:tc>
          <w:tcPr>
            <w:tcW w:type="dxa" w:w="1187"/>
          </w:tcPr>
          <w:p>
            <w:pPr>
              <w:pStyle w:val="null3"/>
            </w:pPr>
            <w:r>
              <w:rPr/>
              <w:t>详见第二章</w:t>
            </w:r>
          </w:p>
        </w:tc>
        <w:tc>
          <w:tcPr>
            <w:tcW w:type="dxa" w:w="1187"/>
          </w:tcPr>
          <w:p>
            <w:pPr>
              <w:pStyle w:val="null3"/>
            </w:pPr>
            <w:r>
              <w:rPr/>
              <w:t>否</w:t>
            </w:r>
          </w:p>
        </w:tc>
      </w:tr>
      <w:tr>
        <w:tc>
          <w:tcPr>
            <w:tcW w:type="dxa" w:w="1187"/>
          </w:tcPr>
          <w:p>
            <w:pPr>
              <w:pStyle w:val="null3"/>
            </w:pPr>
            <w:r>
              <w:rPr/>
              <w:t>1-21</w:t>
            </w:r>
          </w:p>
        </w:tc>
        <w:tc>
          <w:tcPr>
            <w:tcW w:type="dxa" w:w="1424"/>
          </w:tcPr>
          <w:p>
            <w:pPr>
              <w:pStyle w:val="null3"/>
            </w:pPr>
            <w:r>
              <w:rPr/>
              <w:t>软件集成实施服务</w:t>
            </w:r>
          </w:p>
        </w:tc>
        <w:tc>
          <w:tcPr>
            <w:tcW w:type="dxa" w:w="2136"/>
          </w:tcPr>
          <w:p>
            <w:pPr>
              <w:pStyle w:val="null3"/>
            </w:pPr>
            <w:r>
              <w:rPr/>
              <w:t>数字生活驾驶舱</w:t>
            </w:r>
          </w:p>
        </w:tc>
        <w:tc>
          <w:tcPr>
            <w:tcW w:type="dxa" w:w="1187"/>
          </w:tcPr>
          <w:p>
            <w:pPr>
              <w:pStyle w:val="null3"/>
            </w:pPr>
            <w:r>
              <w:rPr/>
              <w:t>1(套)</w:t>
            </w:r>
          </w:p>
        </w:tc>
        <w:tc>
          <w:tcPr>
            <w:tcW w:type="dxa" w:w="1187"/>
          </w:tcPr>
          <w:p>
            <w:pPr>
              <w:pStyle w:val="null3"/>
            </w:pPr>
            <w:r>
              <w:rPr/>
              <w:t>详见第二章</w:t>
            </w:r>
          </w:p>
        </w:tc>
        <w:tc>
          <w:tcPr>
            <w:tcW w:type="dxa" w:w="1187"/>
          </w:tcPr>
          <w:p>
            <w:pPr>
              <w:pStyle w:val="null3"/>
            </w:pPr>
            <w:r>
              <w:rPr/>
              <w:t>否</w:t>
            </w:r>
          </w:p>
        </w:tc>
      </w:tr>
      <w:tr>
        <w:tc>
          <w:tcPr>
            <w:tcW w:type="dxa" w:w="1187"/>
          </w:tcPr>
          <w:p>
            <w:pPr>
              <w:pStyle w:val="null3"/>
            </w:pPr>
            <w:r>
              <w:rPr/>
              <w:t>1-22</w:t>
            </w:r>
          </w:p>
        </w:tc>
        <w:tc>
          <w:tcPr>
            <w:tcW w:type="dxa" w:w="1424"/>
          </w:tcPr>
          <w:p>
            <w:pPr>
              <w:pStyle w:val="null3"/>
            </w:pPr>
            <w:r>
              <w:rPr/>
              <w:t>软件集成实施服务</w:t>
            </w:r>
          </w:p>
        </w:tc>
        <w:tc>
          <w:tcPr>
            <w:tcW w:type="dxa" w:w="2136"/>
          </w:tcPr>
          <w:p>
            <w:pPr>
              <w:pStyle w:val="null3"/>
            </w:pPr>
            <w:r>
              <w:rPr/>
              <w:t>系统功能</w:t>
            </w:r>
          </w:p>
        </w:tc>
        <w:tc>
          <w:tcPr>
            <w:tcW w:type="dxa" w:w="1187"/>
          </w:tcPr>
          <w:p>
            <w:pPr>
              <w:pStyle w:val="null3"/>
            </w:pPr>
            <w:r>
              <w:rPr/>
              <w:t>1(套)</w:t>
            </w:r>
          </w:p>
        </w:tc>
        <w:tc>
          <w:tcPr>
            <w:tcW w:type="dxa" w:w="1187"/>
          </w:tcPr>
          <w:p>
            <w:pPr>
              <w:pStyle w:val="null3"/>
            </w:pPr>
            <w:r>
              <w:rPr/>
              <w:t>详见第二章</w:t>
            </w:r>
          </w:p>
        </w:tc>
        <w:tc>
          <w:tcPr>
            <w:tcW w:type="dxa" w:w="1187"/>
          </w:tcPr>
          <w:p>
            <w:pPr>
              <w:pStyle w:val="null3"/>
            </w:pPr>
            <w:r>
              <w:rPr/>
              <w:t>否</w:t>
            </w:r>
          </w:p>
        </w:tc>
      </w:tr>
      <w:tr>
        <w:tc>
          <w:tcPr>
            <w:tcW w:type="dxa" w:w="1187"/>
          </w:tcPr>
          <w:p>
            <w:pPr>
              <w:pStyle w:val="null3"/>
            </w:pPr>
            <w:r>
              <w:rPr/>
              <w:t>1-23</w:t>
            </w:r>
          </w:p>
        </w:tc>
        <w:tc>
          <w:tcPr>
            <w:tcW w:type="dxa" w:w="1424"/>
          </w:tcPr>
          <w:p>
            <w:pPr>
              <w:pStyle w:val="null3"/>
            </w:pPr>
            <w:r>
              <w:rPr/>
              <w:t>软件集成实施服务</w:t>
            </w:r>
          </w:p>
        </w:tc>
        <w:tc>
          <w:tcPr>
            <w:tcW w:type="dxa" w:w="2136"/>
          </w:tcPr>
          <w:p>
            <w:pPr>
              <w:pStyle w:val="null3"/>
            </w:pPr>
            <w:r>
              <w:rPr/>
              <w:t>职业院校数字基座上报平台</w:t>
            </w:r>
          </w:p>
        </w:tc>
        <w:tc>
          <w:tcPr>
            <w:tcW w:type="dxa" w:w="1187"/>
          </w:tcPr>
          <w:p>
            <w:pPr>
              <w:pStyle w:val="null3"/>
            </w:pPr>
            <w:r>
              <w:rPr/>
              <w:t>1(套)</w:t>
            </w:r>
          </w:p>
        </w:tc>
        <w:tc>
          <w:tcPr>
            <w:tcW w:type="dxa" w:w="1187"/>
          </w:tcPr>
          <w:p>
            <w:pPr>
              <w:pStyle w:val="null3"/>
            </w:pPr>
            <w:r>
              <w:rPr/>
              <w:t>详见第二章</w:t>
            </w:r>
          </w:p>
        </w:tc>
        <w:tc>
          <w:tcPr>
            <w:tcW w:type="dxa" w:w="1187"/>
          </w:tcPr>
          <w:p>
            <w:pPr>
              <w:pStyle w:val="null3"/>
            </w:pPr>
            <w:r>
              <w:rPr/>
              <w:t>否</w:t>
            </w:r>
          </w:p>
        </w:tc>
      </w:tr>
      <w:tr>
        <w:tc>
          <w:tcPr>
            <w:tcW w:type="dxa" w:w="1187"/>
          </w:tcPr>
          <w:p>
            <w:pPr>
              <w:pStyle w:val="null3"/>
            </w:pPr>
            <w:r>
              <w:rPr/>
              <w:t>1-24</w:t>
            </w:r>
          </w:p>
        </w:tc>
        <w:tc>
          <w:tcPr>
            <w:tcW w:type="dxa" w:w="1424"/>
          </w:tcPr>
          <w:p>
            <w:pPr>
              <w:pStyle w:val="null3"/>
            </w:pPr>
            <w:r>
              <w:rPr/>
              <w:t>软件集成实施服务</w:t>
            </w:r>
          </w:p>
        </w:tc>
        <w:tc>
          <w:tcPr>
            <w:tcW w:type="dxa" w:w="2136"/>
          </w:tcPr>
          <w:p>
            <w:pPr>
              <w:pStyle w:val="null3"/>
            </w:pPr>
            <w:r>
              <w:rPr/>
              <w:t>行政办公系统升级</w:t>
            </w:r>
          </w:p>
        </w:tc>
        <w:tc>
          <w:tcPr>
            <w:tcW w:type="dxa" w:w="1187"/>
          </w:tcPr>
          <w:p>
            <w:pPr>
              <w:pStyle w:val="null3"/>
            </w:pPr>
            <w:r>
              <w:rPr/>
              <w:t>1(项)</w:t>
            </w:r>
          </w:p>
        </w:tc>
        <w:tc>
          <w:tcPr>
            <w:tcW w:type="dxa" w:w="1187"/>
          </w:tcPr>
          <w:p>
            <w:pPr>
              <w:pStyle w:val="null3"/>
            </w:pPr>
            <w:r>
              <w:rPr/>
              <w:t>详见第二章</w:t>
            </w:r>
          </w:p>
        </w:tc>
        <w:tc>
          <w:tcPr>
            <w:tcW w:type="dxa" w:w="1187"/>
          </w:tcPr>
          <w:p>
            <w:pPr>
              <w:pStyle w:val="null3"/>
            </w:pPr>
            <w:r>
              <w:rPr/>
              <w:t>否</w:t>
            </w:r>
          </w:p>
        </w:tc>
      </w:tr>
      <w:tr>
        <w:tc>
          <w:tcPr>
            <w:tcW w:type="dxa" w:w="1187"/>
          </w:tcPr>
          <w:p>
            <w:pPr>
              <w:pStyle w:val="null3"/>
            </w:pPr>
            <w:r>
              <w:rPr/>
              <w:t>1-25</w:t>
            </w:r>
          </w:p>
        </w:tc>
        <w:tc>
          <w:tcPr>
            <w:tcW w:type="dxa" w:w="1424"/>
          </w:tcPr>
          <w:p>
            <w:pPr>
              <w:pStyle w:val="null3"/>
            </w:pPr>
            <w:r>
              <w:rPr/>
              <w:t>软件集成实施服务</w:t>
            </w:r>
          </w:p>
        </w:tc>
        <w:tc>
          <w:tcPr>
            <w:tcW w:type="dxa" w:w="2136"/>
          </w:tcPr>
          <w:p>
            <w:pPr>
              <w:pStyle w:val="null3"/>
            </w:pPr>
            <w:r>
              <w:rPr/>
              <w:t>系统对接服务</w:t>
            </w:r>
          </w:p>
        </w:tc>
        <w:tc>
          <w:tcPr>
            <w:tcW w:type="dxa" w:w="1187"/>
          </w:tcPr>
          <w:p>
            <w:pPr>
              <w:pStyle w:val="null3"/>
            </w:pPr>
            <w:r>
              <w:rPr/>
              <w:t>1(项)</w:t>
            </w:r>
          </w:p>
        </w:tc>
        <w:tc>
          <w:tcPr>
            <w:tcW w:type="dxa" w:w="1187"/>
          </w:tcPr>
          <w:p>
            <w:pPr>
              <w:pStyle w:val="null3"/>
            </w:pPr>
            <w:r>
              <w:rPr/>
              <w:t>详见第二章</w:t>
            </w:r>
          </w:p>
        </w:tc>
        <w:tc>
          <w:tcPr>
            <w:tcW w:type="dxa" w:w="1187"/>
          </w:tcPr>
          <w:p>
            <w:pPr>
              <w:pStyle w:val="null3"/>
            </w:pPr>
            <w:r>
              <w:rPr/>
              <w:t>否</w:t>
            </w:r>
          </w:p>
        </w:tc>
      </w:tr>
    </w:tbl>
    <w:p>
      <w:pPr>
        <w:pStyle w:val="null3"/>
      </w:pPr>
      <w:r>
        <w:rPr/>
        <w:t>本采购包不接受联合体投标</w:t>
      </w:r>
    </w:p>
    <w:p>
      <w:pPr>
        <w:pStyle w:val="null3"/>
      </w:pPr>
      <w:r>
        <w:rPr/>
        <w:t>合同分包：不允许合同分包</w:t>
      </w:r>
    </w:p>
    <w:p>
      <w:pPr>
        <w:pStyle w:val="null3"/>
      </w:pPr>
      <w:r>
        <w:rPr/>
        <w:t>合同履行期限：★职业院校数字基座上报平台在合同签订5个工作日内完成与国家教育部职教大脑平台对接及数据上报，行政办公系统升级在合同签订5个工作日内完成，其他系统在合同签订后180天内完成供货、安装和调试。调试完成后由相关部门组织验收。【要求提供盖章承诺函】</w:t>
      </w:r>
    </w:p>
    <w:p>
      <w:pPr>
        <w:pStyle w:val="null3"/>
        <w:outlineLvl w:val="2"/>
      </w:pPr>
      <w:r>
        <w:rPr>
          <w:sz w:val="28"/>
          <w:b/>
        </w:rPr>
        <w:t>二.投标人的资格要求</w:t>
      </w:r>
    </w:p>
    <w:p>
      <w:pPr>
        <w:pStyle w:val="null3"/>
        <w:outlineLvl w:val="3"/>
      </w:pPr>
      <w:r>
        <w:rPr>
          <w:sz w:val="24"/>
          <w:b/>
        </w:rPr>
        <w:t>1.投标人应具备《中华人民共和国政府采购法》第二十二条规定的条件，提供下列材料：</w:t>
      </w:r>
    </w:p>
    <w:p>
      <w:pPr>
        <w:pStyle w:val="null3"/>
      </w:pPr>
      <w:r>
        <w:rPr/>
        <w:t>1）具有独立承担民事责任的能力：是在中华人民共和国境内注册的法人或其他组织或自然人，投标时提交有效的营业执照（或事业法人登记证或社会团体登记证或民办非企业单位登记证或身份证等相关证明）副本复印件。（如国家另有规定的，则从其规定。如供应商为分支机构，须取得具有法人资格的总公司（总所）出具给分支机构的授权书，并提供总公司（总所）和分支机构的营业执照（执业许可证）复印件；已由总公司（总所）授权的，总公司（总所）取得的相关资质证书对分支机构有效，法律法规或者行业另有规定的除外）</w:t>
      </w:r>
    </w:p>
    <w:p>
      <w:pPr>
        <w:pStyle w:val="null3"/>
      </w:pPr>
      <w:r>
        <w:rPr/>
        <w:t>2）有依法缴纳税收和社会保障资金的良好记录：提供书面声明。</w:t>
      </w:r>
    </w:p>
    <w:p>
      <w:pPr>
        <w:pStyle w:val="null3"/>
      </w:pPr>
      <w:r>
        <w:rPr/>
        <w:t>3）具有良好的商业信誉和健全的财务会计制度：提供书面声明。</w:t>
      </w:r>
    </w:p>
    <w:p>
      <w:pPr>
        <w:pStyle w:val="null3"/>
      </w:pPr>
      <w:r>
        <w:rPr/>
        <w:t>4）履行合同所必需的设备和专业技术能力：提供书面声明。</w:t>
      </w:r>
    </w:p>
    <w:p>
      <w:pPr>
        <w:pStyle w:val="null3"/>
      </w:pPr>
      <w:r>
        <w:rPr/>
        <w:t>5）参加采购活动前3年内，在经营活动中没有重大违法记录：参照投标（报价）函相关承诺格式内容。 重大违法记录，是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pPr>
        <w:pStyle w:val="null3"/>
        <w:outlineLvl w:val="3"/>
      </w:pPr>
      <w:r>
        <w:rPr>
          <w:sz w:val="24"/>
          <w:b/>
        </w:rPr>
        <w:t>2.落实政府采购政策需满足的资格要求：</w:t>
      </w:r>
    </w:p>
    <w:p>
      <w:pPr>
        <w:pStyle w:val="null3"/>
        <w:jc w:val="left"/>
      </w:pPr>
      <w:r>
        <w:rPr/>
        <w:t>采购包1（广东交通职业技术学院智慧校园综合服务平台三期建设）：</w:t>
      </w:r>
      <w:r>
        <w:rPr/>
        <w:t>本项目不属于专门面向中小企业采购。</w:t>
      </w:r>
    </w:p>
    <w:p>
      <w:pPr>
        <w:pStyle w:val="null3"/>
        <w:outlineLvl w:val="3"/>
      </w:pPr>
      <w:r>
        <w:rPr>
          <w:sz w:val="24"/>
          <w:b/>
        </w:rPr>
        <w:t>3.本项目特定的资格要求：</w:t>
      </w:r>
    </w:p>
    <w:p>
      <w:pPr>
        <w:pStyle w:val="null3"/>
      </w:pPr>
      <w:r>
        <w:rPr/>
        <w:t>采购包1（广东交通职业技术学院智慧校园综合服务平台三期建设）：</w:t>
      </w:r>
    </w:p>
    <w:p>
      <w:pPr>
        <w:pStyle w:val="null3"/>
      </w:pPr>
      <w:r>
        <w:rPr/>
        <w:t>1)供应商未被列入“信用中国”网站(www.creditchina.gov.cn)“记录失信被执行人或重大税收违法失信主体或政府采购严重违法失信行为”记录名单；不处于中国政府采购网(www.ccgp.gov.cn)“政府采购严重违法失信行为信息记录”中的禁止参加政府采购活动期间。（以采购代理机构于投标（响应）截止时间当天在“信用中国”网站（www.creditchina.gov.cn）及中国政府采购网（http：//www.ccgp.gov.cn/）查询结果为准，如相关失信记录已失效，供应商需提供相关证明资料）。</w:t>
      </w:r>
    </w:p>
    <w:p>
      <w:pPr>
        <w:pStyle w:val="null3"/>
      </w:pPr>
      <w:r>
        <w:rPr/>
        <w:t>2)单位负责人为同一人或者存在直接控股、 管理关系的不同供应商，不得同时参加本采购项目（或采购包） 投标（响应）。 为本项目提供整体设计、 规范编制或者项目管理、 监理、 检测等服务的供应商， 不得再参与本项目投标（响应）。 投标（报价） 函相关承诺要求内容。</w:t>
      </w:r>
    </w:p>
    <w:p>
      <w:pPr>
        <w:pStyle w:val="null3"/>
        <w:outlineLvl w:val="2"/>
      </w:pPr>
      <w:r>
        <w:rPr>
          <w:sz w:val="28"/>
          <w:b/>
        </w:rPr>
        <w:t>三.获取招标文件</w:t>
      </w:r>
    </w:p>
    <w:p>
      <w:pPr>
        <w:pStyle w:val="null3"/>
        <w:ind w:firstLine="480"/>
      </w:pPr>
      <w:r>
        <w:rPr/>
        <w:t>时间：详见招标公告及其变更公告（如有）</w:t>
      </w:r>
    </w:p>
    <w:p>
      <w:pPr>
        <w:pStyle w:val="null3"/>
        <w:ind w:firstLine="480"/>
      </w:pPr>
      <w:r>
        <w:rPr/>
        <w:t>地点：详见招标公告及其变更公告（如有）</w:t>
      </w:r>
    </w:p>
    <w:p>
      <w:pPr>
        <w:pStyle w:val="null3"/>
        <w:ind w:firstLine="480"/>
      </w:pPr>
      <w:r>
        <w:rPr/>
        <w:t xml:space="preserve"> 获取方式：在线获取。供应商应从广东省政府采购网（https://gdgpo.czt.gd.gov.cn/）上广东政府采购智慧云平台（以下简称“云平台”）的政府采购供应商入口进行免费注册后，登录进入项目采购系统完成项目投标登记并在线获取招标文件（未按上述方式获取招标文件的供应商，其投标资格将被视为无效）。</w:t>
      </w:r>
    </w:p>
    <w:p>
      <w:pPr>
        <w:pStyle w:val="null3"/>
        <w:ind w:firstLine="480"/>
      </w:pPr>
      <w:r>
        <w:rPr/>
        <w:t>售价：免费</w:t>
      </w:r>
    </w:p>
    <w:p>
      <w:pPr>
        <w:pStyle w:val="null3"/>
        <w:outlineLvl w:val="2"/>
      </w:pPr>
      <w:r>
        <w:rPr>
          <w:sz w:val="28"/>
          <w:b/>
        </w:rPr>
        <w:t>四.提交投标文件截止时间、开标时间和地点：</w:t>
      </w:r>
    </w:p>
    <w:p>
      <w:pPr>
        <w:pStyle w:val="null3"/>
        <w:ind w:firstLine="480"/>
      </w:pPr>
      <w:r>
        <w:rPr/>
        <w:t xml:space="preserve"> 提交投标文件截止时间和开标时间：详见招标公告及其变更公告（如有）</w:t>
      </w:r>
    </w:p>
    <w:p>
      <w:pPr>
        <w:pStyle w:val="null3"/>
        <w:ind w:firstLine="480"/>
      </w:pPr>
      <w:r>
        <w:rPr/>
        <w:t xml:space="preserve"> （自招标文件开始发出之日起至投标人提交投标文件截止之日止，不得少于20日）</w:t>
      </w:r>
    </w:p>
    <w:p>
      <w:pPr>
        <w:pStyle w:val="null3"/>
        <w:ind w:firstLine="480"/>
      </w:pPr>
      <w:r>
        <w:rPr/>
        <w:t xml:space="preserve"> 地点：详见招标公告及其变更公告（如有）</w:t>
      </w:r>
    </w:p>
    <w:p>
      <w:pPr>
        <w:pStyle w:val="null3"/>
        <w:outlineLvl w:val="2"/>
      </w:pPr>
      <w:r>
        <w:rPr>
          <w:sz w:val="28"/>
          <w:b/>
        </w:rPr>
        <w:t>五.公告期限、发布公告的媒介：</w:t>
      </w:r>
    </w:p>
    <w:p>
      <w:pPr>
        <w:pStyle w:val="null3"/>
        <w:ind w:firstLine="480"/>
      </w:pPr>
      <w:r>
        <w:rPr/>
        <w:t xml:space="preserve"> 1、公告期限：自本公告发布之日起不得少于5个工作日。</w:t>
      </w:r>
    </w:p>
    <w:p>
      <w:pPr>
        <w:pStyle w:val="null3"/>
        <w:ind w:firstLine="480"/>
      </w:pPr>
      <w:r>
        <w:rPr/>
        <w:t xml:space="preserve"> 2、发布公告的媒介：中国政府采购网(www.ccgp.gov.cn)、广东省政府采购网(https://gdgpo.czt.gd.gov.cn/)；</w:t>
      </w:r>
      <w:r>
        <w:rPr/>
        <w:t>广东有德招标采购有限公司网站（www.youde.net）</w:t>
      </w:r>
    </w:p>
    <w:p>
      <w:pPr>
        <w:pStyle w:val="null3"/>
        <w:outlineLvl w:val="2"/>
      </w:pPr>
      <w:r>
        <w:rPr>
          <w:sz w:val="28"/>
          <w:b/>
        </w:rPr>
        <w:t>六.本项目联系方式：</w:t>
      </w:r>
    </w:p>
    <w:p>
      <w:pPr>
        <w:pStyle w:val="null3"/>
        <w:outlineLvl w:val="3"/>
      </w:pPr>
      <w:r>
        <w:rPr>
          <w:sz w:val="24"/>
          <w:b/>
        </w:rPr>
        <w:t xml:space="preserve"> 1.采购人信息</w:t>
      </w:r>
    </w:p>
    <w:p>
      <w:pPr>
        <w:pStyle w:val="null3"/>
        <w:ind w:firstLine="480"/>
      </w:pPr>
      <w:r>
        <w:rPr/>
        <w:t xml:space="preserve"> 名称：</w:t>
      </w:r>
      <w:r>
        <w:rPr/>
        <w:t>广东交通职业技术学院</w:t>
      </w:r>
    </w:p>
    <w:p>
      <w:pPr>
        <w:pStyle w:val="null3"/>
        <w:ind w:firstLine="480"/>
      </w:pPr>
      <w:r>
        <w:rPr/>
        <w:t xml:space="preserve"> 地址：</w:t>
      </w:r>
      <w:r>
        <w:rPr/>
        <w:t>广州市天河区天源路789号</w:t>
      </w:r>
    </w:p>
    <w:p>
      <w:pPr>
        <w:pStyle w:val="null3"/>
        <w:ind w:firstLine="480"/>
      </w:pPr>
      <w:r>
        <w:rPr/>
        <w:t xml:space="preserve"> 联系方式：</w:t>
      </w:r>
      <w:r>
        <w:rPr/>
        <w:t>020-37223600</w:t>
      </w:r>
    </w:p>
    <w:p>
      <w:pPr>
        <w:pStyle w:val="null3"/>
        <w:outlineLvl w:val="3"/>
      </w:pPr>
      <w:r>
        <w:rPr>
          <w:sz w:val="24"/>
          <w:b/>
        </w:rPr>
        <w:t xml:space="preserve"> 2.采购代理机构信息</w:t>
      </w:r>
    </w:p>
    <w:p>
      <w:pPr>
        <w:pStyle w:val="null3"/>
        <w:ind w:firstLine="480"/>
      </w:pPr>
      <w:r>
        <w:rPr/>
        <w:t xml:space="preserve"> 名称：</w:t>
      </w:r>
      <w:r>
        <w:rPr/>
        <w:t>广东有德招标采购有限公司</w:t>
      </w:r>
    </w:p>
    <w:p>
      <w:pPr>
        <w:pStyle w:val="null3"/>
        <w:ind w:firstLine="480"/>
      </w:pPr>
      <w:r>
        <w:rPr/>
        <w:t xml:space="preserve"> 地址：</w:t>
      </w:r>
      <w:r>
        <w:rPr/>
        <w:t>广州市天河北路626号保利中宇广场A座25楼</w:t>
      </w:r>
    </w:p>
    <w:p>
      <w:pPr>
        <w:pStyle w:val="null3"/>
        <w:ind w:firstLine="480"/>
      </w:pPr>
      <w:r>
        <w:rPr/>
        <w:t xml:space="preserve"> 联系方式：</w:t>
      </w:r>
      <w:r>
        <w:rPr/>
        <w:t>020-83629157</w:t>
      </w:r>
    </w:p>
    <w:p>
      <w:pPr>
        <w:pStyle w:val="null3"/>
        <w:outlineLvl w:val="3"/>
      </w:pPr>
      <w:r>
        <w:rPr>
          <w:sz w:val="24"/>
          <w:b/>
        </w:rPr>
        <w:t xml:space="preserve"> 3.项目联系方式</w:t>
      </w:r>
    </w:p>
    <w:p>
      <w:pPr>
        <w:pStyle w:val="null3"/>
        <w:ind w:firstLine="480"/>
      </w:pPr>
      <w:r>
        <w:rPr/>
        <w:t xml:space="preserve"> 项目联系人：</w:t>
      </w:r>
      <w:r>
        <w:rPr/>
        <w:t>温小姐</w:t>
      </w:r>
    </w:p>
    <w:p>
      <w:pPr>
        <w:pStyle w:val="null3"/>
        <w:ind w:firstLine="480"/>
      </w:pPr>
      <w:r>
        <w:rPr/>
        <w:t xml:space="preserve"> 电话：</w:t>
      </w:r>
      <w:r>
        <w:rPr/>
        <w:t>020-83629157</w:t>
      </w:r>
    </w:p>
    <w:p>
      <w:pPr>
        <w:pStyle w:val="null3"/>
        <w:outlineLvl w:val="3"/>
      </w:pPr>
      <w:r>
        <w:rPr>
          <w:sz w:val="24"/>
          <w:b/>
        </w:rPr>
        <w:t xml:space="preserve"> 4.技术支持联系方式</w:t>
      </w:r>
    </w:p>
    <w:p>
      <w:pPr>
        <w:pStyle w:val="null3"/>
        <w:ind w:firstLine="480"/>
      </w:pPr>
      <w:r>
        <w:rPr/>
        <w:t>云平台联系方式：020-88696588</w:t>
      </w:r>
    </w:p>
    <w:p>
      <w:pPr>
        <w:pStyle w:val="null3"/>
        <w:ind w:firstLine="480"/>
      </w:pPr>
      <w:r>
        <w:rPr/>
        <w:t>开标评标服务专线：020-88696599</w:t>
      </w:r>
    </w:p>
    <w:p>
      <w:pPr>
        <w:pStyle w:val="null3"/>
      </w:pPr>
      <w:r>
        <w:rPr/>
        <w:t xml:space="preserve"> 采购代理机构：</w:t>
      </w:r>
      <w:r>
        <w:rPr/>
        <w:t>广东有德招标采购有限公司</w:t>
      </w:r>
    </w:p>
    <w:p>
      <w:pPr>
        <w:pStyle w:val="null3"/>
        <w:ind w:firstLine="480"/>
      </w:pPr>
      <w:r>
        <w:rPr/>
        <w:t xml:space="preserve">  </w:t>
      </w:r>
    </w:p>
    <w:p>
      <w:pPr>
        <w:pStyle w:val="null3"/>
        <w:jc w:val="center"/>
        <w:outlineLvl w:val="1"/>
      </w:pPr>
      <w:r>
        <w:rPr>
          <w:sz w:val="36"/>
          <w:b/>
        </w:rPr>
        <w:t>第二章 采购需求</w:t>
      </w:r>
    </w:p>
    <w:p>
      <w:pPr>
        <w:pStyle w:val="null3"/>
        <w:outlineLvl w:val="2"/>
      </w:pPr>
      <w:r>
        <w:rPr>
          <w:sz w:val="28"/>
          <w:b/>
        </w:rPr>
        <w:t>一、项目概况：</w:t>
      </w:r>
    </w:p>
    <w:p>
      <w:pPr>
        <w:pStyle w:val="null3"/>
      </w:pPr>
      <w:r>
        <w:rPr>
          <w:sz w:val="21"/>
        </w:rPr>
        <w:t>（一）</w:t>
      </w:r>
      <w:r>
        <w:rPr>
          <w:sz w:val="21"/>
        </w:rPr>
        <w:t>项目背景</w:t>
      </w:r>
    </w:p>
    <w:p>
      <w:pPr>
        <w:pStyle w:val="null3"/>
        <w:ind w:firstLine="420"/>
        <w:jc w:val="both"/>
      </w:pPr>
      <w:r>
        <w:rPr>
          <w:sz w:val="21"/>
        </w:rPr>
        <w:t>广东交通职业技术学院已完成智慧校园综合服务平台一、二期建设，沉淀了教职工、学生、教学、科研、财务、后勤等多领域数据，实现了基础数据共享与部分服务场景落地。但当前数据管理在溯源、资产化平台运营、建模支撑等方面存在短板，难以满足学校数字化转型的深层次需求。为破解这一困境，项目将核心构建统一数据治理平台，搭建数据湖、数据仓库、数据集市三层存储架构，以元数据为核心实现数据结构化与模型化管理，通过数据标准统一、质量管控、安全防护等功能，推动数据资源向资产转化，持续挖掘数据价值，并完成职教大脑数据基座上报工作。同时，聚焦师生服务痛点，升级行政办公系统并新增通知公告变更流程，实现办公流程数字化、服务场景便捷化，全面完善学校数据服务与信息化管理体系。</w:t>
      </w:r>
    </w:p>
    <w:p>
      <w:pPr>
        <w:pStyle w:val="null3"/>
        <w:ind w:firstLine="420"/>
        <w:jc w:val="both"/>
      </w:pPr>
      <w:r>
        <w:rPr>
          <w:sz w:val="21"/>
        </w:rPr>
        <w:t>（二）</w:t>
      </w:r>
      <w:r>
        <w:rPr>
          <w:sz w:val="21"/>
        </w:rPr>
        <w:t>项目总体要求</w:t>
      </w:r>
    </w:p>
    <w:p>
      <w:pPr>
        <w:pStyle w:val="null3"/>
        <w:ind w:firstLine="400"/>
        <w:jc w:val="both"/>
      </w:pPr>
      <w:r>
        <w:rPr>
          <w:sz w:val="21"/>
        </w:rPr>
        <w:t>1．</w:t>
      </w:r>
      <w:r>
        <w:rPr>
          <w:sz w:val="21"/>
        </w:rPr>
        <w:t>数据基座平台需采用</w:t>
      </w:r>
      <w:r>
        <w:rPr>
          <w:sz w:val="21"/>
        </w:rPr>
        <w:t>B/S架构，支持多种主流的浏览器，如InternetExplorer、Firefox、Mozilla等。</w:t>
      </w:r>
    </w:p>
    <w:p>
      <w:pPr>
        <w:pStyle w:val="null3"/>
        <w:ind w:firstLine="400"/>
        <w:jc w:val="both"/>
      </w:pPr>
      <w:r>
        <w:rPr>
          <w:sz w:val="21"/>
        </w:rPr>
        <w:t>2．</w:t>
      </w:r>
      <w:r>
        <w:rPr>
          <w:sz w:val="21"/>
        </w:rPr>
        <w:t>数据基座平台需采用</w:t>
      </w:r>
      <w:r>
        <w:rPr>
          <w:sz w:val="21"/>
        </w:rPr>
        <w:t>“跨平台”的Java语言和独立于开发环境的面向对象的组件技术。</w:t>
      </w:r>
    </w:p>
    <w:p>
      <w:pPr>
        <w:pStyle w:val="null3"/>
        <w:ind w:firstLine="400"/>
        <w:jc w:val="both"/>
      </w:pPr>
      <w:r>
        <w:rPr>
          <w:sz w:val="21"/>
        </w:rPr>
        <w:t>3．</w:t>
      </w:r>
      <w:r>
        <w:rPr>
          <w:sz w:val="21"/>
        </w:rPr>
        <w:t>数据基座平台需支持多种主流平台部署，如</w:t>
      </w:r>
      <w:r>
        <w:rPr>
          <w:sz w:val="21"/>
        </w:rPr>
        <w:t>WINDOWS、Linux、HPUX、IBMAIX等。支持平台的32位及64位操作系统。</w:t>
      </w:r>
    </w:p>
    <w:p>
      <w:pPr>
        <w:pStyle w:val="null3"/>
        <w:ind w:firstLine="400"/>
        <w:jc w:val="both"/>
      </w:pPr>
      <w:r>
        <w:rPr>
          <w:sz w:val="21"/>
          <w:b/>
        </w:rPr>
        <w:t>4．</w:t>
      </w:r>
      <w:r>
        <w:rPr>
          <w:sz w:val="21"/>
          <w:b/>
        </w:rPr>
        <w:t>★本项目所开发的数据平台应符合学校现有核心业务工作流程，充分考量原有软件系统及相关信息、数据的可复用性；须与学校现有数据中心进行数据对接与迁移，现有数据中心接口具体要求如下：（1）接口类型：支持RESTful API、JDBC、ODBC等主流标准接口；（2）接口协议：遵循HTTP/HTTPS传输协议，数据交互格式兼容JSON、XML及关系型数据库表结构；（3）对接范围：需对接的数据涵盖教务管理、学生管理、科研管理、资产管理四大类核心业务数据，需按学校数据标准完成格式适配与迁移。平台建设及数据对接过程中，须妥善兼容历史数据，保障现有软件系统运行的稳定性与可靠性，不得对学校各部门现有软件的正常使用造成影响。投标人需承诺数据对接与迁移相关的所有费用均已包含在投标报价中，不得额外增收费用。【要求提供盖章承诺函】</w:t>
      </w:r>
    </w:p>
    <w:p>
      <w:pPr>
        <w:pStyle w:val="null3"/>
        <w:ind w:firstLine="400"/>
        <w:jc w:val="both"/>
      </w:pPr>
      <w:r>
        <w:rPr>
          <w:sz w:val="21"/>
        </w:rPr>
        <w:t>5．</w:t>
      </w:r>
      <w:r>
        <w:rPr>
          <w:sz w:val="21"/>
        </w:rPr>
        <w:t>▲业务系统集成服务：要求对接已有的业务系统，包含信息门户（联奕统一信息门户管理软件V4.0）、统一身份认证（联奕统一身份认证软件V2.0）、学工系统（联奕微服务架构综合学工管理软件V5.0）、人事系统（高校人力资源管理系统V9.0）等。投标人需承诺对接所产生的所有费用应包含在投标报价中。</w:t>
      </w:r>
      <w:r>
        <w:rPr>
          <w:sz w:val="21"/>
          <w:b/>
        </w:rPr>
        <w:t>【要求提供盖章承诺函】</w:t>
      </w:r>
    </w:p>
    <w:p>
      <w:pPr>
        <w:pStyle w:val="null3"/>
        <w:ind w:firstLine="400"/>
        <w:jc w:val="both"/>
      </w:pPr>
      <w:r>
        <w:rPr>
          <w:sz w:val="21"/>
        </w:rPr>
        <w:t>6．</w:t>
      </w:r>
      <w:r>
        <w:rPr>
          <w:sz w:val="21"/>
        </w:rPr>
        <w:t>▲由于本次建设系统涉及全校大部分重要数据与信息，所以系统的安全性必须充分保障，投标方应提供完整的信息安全保障策略方案，同时系统应满足可信安全网络部署。</w:t>
      </w:r>
      <w:r>
        <w:rPr>
          <w:sz w:val="21"/>
          <w:b/>
        </w:rPr>
        <w:t>【投标方完整的信息安全保障策略方案】</w:t>
      </w:r>
    </w:p>
    <w:p>
      <w:pPr>
        <w:pStyle w:val="null3"/>
        <w:ind w:firstLine="400"/>
        <w:jc w:val="both"/>
      </w:pPr>
      <w:r>
        <w:rPr>
          <w:sz w:val="21"/>
        </w:rPr>
        <w:t>7．</w:t>
      </w:r>
      <w:r>
        <w:rPr>
          <w:sz w:val="21"/>
        </w:rPr>
        <w:t>▲本项目建设将会上传大量学校内部文档与资料，项目需基于文件安全管理技术并支持加密管理。</w:t>
      </w:r>
    </w:p>
    <w:p>
      <w:pPr>
        <w:pStyle w:val="null3"/>
        <w:ind w:firstLine="400"/>
        <w:jc w:val="both"/>
      </w:pPr>
      <w:r>
        <w:rPr>
          <w:sz w:val="21"/>
          <w:b/>
        </w:rPr>
        <w:t>8．</w:t>
      </w:r>
      <w:r>
        <w:rPr>
          <w:sz w:val="21"/>
        </w:rPr>
        <w:t>▲本项目涉及师生个人信息、学校教学科研核心数据、财务资产数据等大量敏感信息，其数据安全与漏洞管理水平直接关系到学校业务运转、师生权益保护及国家安全。为满足国家信息安全要求，保障采购项目安全性与稳定性，要求投标方自2022年1月1日起至今无相关危害级别为中、高级漏洞记录。</w:t>
      </w:r>
      <w:r>
        <w:rPr>
          <w:sz w:val="21"/>
          <w:b/>
        </w:rPr>
        <w:t>【以国家信息安全漏洞共享平台查询结果为依据，提供国家信息安全漏洞共享平台针对投标方的漏洞查询页面截图，并加盖投标方公章】</w:t>
      </w:r>
    </w:p>
    <w:p>
      <w:pPr>
        <w:pStyle w:val="null3"/>
        <w:ind w:firstLine="422"/>
        <w:jc w:val="both"/>
      </w:pPr>
      <w:r>
        <w:rPr/>
        <w:t xml:space="preserve"> </w:t>
      </w:r>
    </w:p>
    <w:p>
      <w:pPr>
        <w:pStyle w:val="null3"/>
        <w:ind w:firstLine="422"/>
        <w:jc w:val="both"/>
      </w:pPr>
      <w:r>
        <w:rPr>
          <w:sz w:val="21"/>
          <w:b/>
        </w:rPr>
        <w:t>特别说明：本章中主要商务要求中的</w:t>
      </w:r>
      <w:r>
        <w:rPr>
          <w:sz w:val="21"/>
          <w:b/>
        </w:rPr>
        <w:t>“标的提供的时间”、“标的提供的地点”、“付款方式”、“验收要求”、“履约保证金”内容均为实质性的条款，投标人必须对此响应并完全满足或优于这些条款，否则将按无效投标处理。</w:t>
      </w:r>
    </w:p>
    <w:p>
      <w:pPr>
        <w:pStyle w:val="null3"/>
      </w:pPr>
      <w:r>
        <w:rPr/>
        <w:t>采购包1（广东交通职业技术学院智慧校园综合服务平台三期建设）</w:t>
      </w:r>
      <w:r>
        <w:rPr>
          <w:b/>
        </w:rPr>
        <w:t>1.主要商务要求</w:t>
      </w:r>
    </w:p>
    <w:tbl>
      <w:tblPr>
        <w:tblW w:w="0" w:type="auto"/>
        <w:tblBorders>
          <w:top w:val="single"/>
          <w:left w:val="single"/>
          <w:bottom w:val="single"/>
          <w:right w:val="single"/>
          <w:insideH w:val="single"/>
          <w:insideV w:val="single"/>
        </w:tblBorders>
      </w:tblPr>
      <w:tblGrid>
        <w:gridCol w:w="4153"/>
        <w:gridCol w:w="4153"/>
      </w:tblGrid>
      <w:tr>
        <w:tc>
          <w:tcPr>
            <w:tcW w:type="dxa" w:w="4153"/>
          </w:tcPr>
          <w:p>
            <w:pPr>
              <w:pStyle w:val="null3"/>
            </w:pPr>
            <w:r>
              <w:rPr/>
              <w:t>标的提供的时间</w:t>
            </w:r>
          </w:p>
        </w:tc>
        <w:tc>
          <w:tcPr>
            <w:tcW w:type="dxa" w:w="4153"/>
          </w:tcPr>
          <w:p>
            <w:pPr>
              <w:pStyle w:val="null3"/>
            </w:pPr>
            <w:r>
              <w:rPr/>
              <w:t>★职业院校数字基座上报平台在合同签订5个工作日内完成与国家教育部职教大脑平台对接及数据上报，行政办公系统升级在合同签订5个工作日内完成，其他系统在合同签订后180天内完成供货、安装和调试。调试完成后由相关部门组织验收。【要求提供盖章承诺函】</w:t>
            </w:r>
          </w:p>
        </w:tc>
      </w:tr>
      <w:tr>
        <w:tc>
          <w:tcPr>
            <w:tcW w:type="dxa" w:w="4153"/>
          </w:tcPr>
          <w:p>
            <w:pPr>
              <w:pStyle w:val="null3"/>
            </w:pPr>
            <w:r>
              <w:rPr/>
              <w:t>标的提供的地点</w:t>
            </w:r>
          </w:p>
        </w:tc>
        <w:tc>
          <w:tcPr>
            <w:tcW w:type="dxa" w:w="4153"/>
          </w:tcPr>
          <w:p>
            <w:pPr>
              <w:pStyle w:val="null3"/>
            </w:pPr>
            <w:r>
              <w:rPr/>
              <w:t>广东交通职业技术学院（采购人指定地点）</w:t>
            </w:r>
          </w:p>
        </w:tc>
      </w:tr>
      <w:tr>
        <w:tc>
          <w:tcPr>
            <w:tcW w:type="dxa" w:w="4153"/>
          </w:tcPr>
          <w:p>
            <w:pPr>
              <w:pStyle w:val="null3"/>
            </w:pPr>
            <w:r>
              <w:rPr/>
              <w:t>付款方式</w:t>
            </w:r>
          </w:p>
        </w:tc>
        <w:tc>
          <w:tcPr>
            <w:tcW w:type="dxa" w:w="4153"/>
          </w:tcPr>
          <w:p>
            <w:pPr>
              <w:pStyle w:val="null3"/>
            </w:pPr>
            <w:r>
              <w:rPr/>
              <w:t>1期：支付比例100%,1期：支付比例30%,签订合同后，采购人收到中标人开具的等额正式发票后5个工作日内（中标人已缴纳履约保证金后）支付合同总金额的30%。 2期：支付比例30%,系统项目所有软件安装部署实施、调试且所有安装并通过采购人确认后，采购人收到中标人开具的等额正式发票后10个工作日内支付合同总金额30%。 3期：支付比例40%,项目通过验收后，采购人收到中标人开具的等额正式发票后10个工作日内支付合同总金额40%。 （注：采购人向中标人指定账户汇出款项后，即视为已履行付款义务。在汇款过程中，因中标人账户的原因（包括但不限于账号被注销、被冻结等）导致其无法收取款项的，由中标人承担相应后果。）</w:t>
            </w:r>
          </w:p>
          <w:p>
            <w:pPr>
              <w:pStyle w:val="null3"/>
            </w:pPr>
            <w:r>
              <w:rPr/>
              <w:t>如项目发生合同融资，采购人需将合同款项支付到合同约定收款账户</w:t>
            </w:r>
          </w:p>
        </w:tc>
      </w:tr>
      <w:tr>
        <w:tc>
          <w:tcPr>
            <w:tcW w:type="dxa" w:w="4153"/>
          </w:tcPr>
          <w:p>
            <w:pPr>
              <w:pStyle w:val="null3"/>
            </w:pPr>
            <w:r>
              <w:rPr/>
              <w:t>验收要求</w:t>
            </w:r>
          </w:p>
        </w:tc>
        <w:tc>
          <w:tcPr>
            <w:tcW w:type="dxa" w:w="4153"/>
          </w:tcPr>
          <w:p>
            <w:pPr>
              <w:pStyle w:val="null3"/>
            </w:pPr>
            <w:r>
              <w:rPr/>
              <w:t>1期：1.中标人完成项目所有设备及系统的调试后，采购人在收到供应商的验收申请后的 7 日内组织履约验收，由采购人及中标人双方共同组成验收小组对项目开展验收工作 。 2.货物若有国家标准按照国家标准验收，若无国家标准按行业标准验收。货物为全新产品，表面无划损、无任何缺陷隐患，在中国境内可依常规安全合法使用。 3.验收时应在双方共同参与下进行。采购人组成验收小组按国家有关规定、规范进行验收，必要时邀请相关的专业人员或机构参与验收。验收时如发现所交付的设备有短装、次品、损坏或其它不符合合同规定之情形者，中标人应做出详尽的现场记录，或由甲乙双方签署备忘录。此现场记录或备忘录可用作补充、缺失和更换损坏部件的有效证据。由此产生的有关费用由中标人承担。 4.如果合同设备运输和安装调试过程中因事故造成货物短缺、损坏，中标人应及时安排换装，以保证合同设备安装调试的成功完成。换货的相关费用由中标人承担。 5.系统验收要求 (1)系统验收要求对各个单项产品的测试和网络系统联机测试以及试运行，均达到标书要求的性能和产品技术规格中的性能，实现系统正常运行后经采购人确认签字确认。 (2)中标人应负责在项目验收时将系统的全部有关产品说明书、原厂家安装手册、技术文件、资料、及安装、测试、验收报告等文档汇集成册交付采购人。</w:t>
            </w:r>
          </w:p>
        </w:tc>
      </w:tr>
      <w:tr>
        <w:tc>
          <w:tcPr>
            <w:tcW w:type="dxa" w:w="4153"/>
          </w:tcPr>
          <w:p>
            <w:pPr>
              <w:pStyle w:val="null3"/>
            </w:pPr>
            <w:r>
              <w:rPr/>
              <w:t>履约保证金</w:t>
            </w:r>
          </w:p>
        </w:tc>
        <w:tc>
          <w:tcPr>
            <w:tcW w:type="dxa" w:w="4153"/>
          </w:tcPr>
          <w:p>
            <w:pPr>
              <w:pStyle w:val="null3"/>
            </w:pPr>
            <w:r>
              <w:rPr/>
              <w:t>交纳比例：5%</w:t>
            </w:r>
          </w:p>
          <w:p>
            <w:pPr>
              <w:pStyle w:val="null3"/>
            </w:pPr>
            <w:r>
              <w:rPr/>
              <w:t>缴费渠道：</w:t>
            </w:r>
            <w:r>
              <w:rPr/>
              <w:t>电子保函（保险）</w:t>
            </w:r>
            <w:r>
              <w:rPr/>
              <w:t>、支票（本票、汇票）</w:t>
            </w:r>
            <w:r>
              <w:rPr/>
              <w:t>、其他</w:t>
            </w:r>
          </w:p>
          <w:p>
            <w:pPr>
              <w:pStyle w:val="null3"/>
            </w:pPr>
            <w:r>
              <w:rPr/>
              <w:t>账号：3602078209000282877</w:t>
            </w:r>
          </w:p>
          <w:p>
            <w:pPr>
              <w:pStyle w:val="null3"/>
            </w:pPr>
            <w:r>
              <w:rPr/>
              <w:t>户名：广东交通职业技术学院</w:t>
            </w:r>
          </w:p>
          <w:p>
            <w:pPr>
              <w:pStyle w:val="null3"/>
            </w:pPr>
            <w:r>
              <w:rPr/>
              <w:t>开户行：工商银行广州市元岗支行</w:t>
            </w:r>
          </w:p>
          <w:p>
            <w:pPr>
              <w:pStyle w:val="null3"/>
            </w:pPr>
            <w:r>
              <w:rPr/>
              <w:t>支票提交方式：中标人应以银行支票（或现金支票）形式提交应以银行支票（或现金支票）形式提交，且需为不可撤销、见票即付的即期支票，收款人注明为广东交通职业技术学院。</w:t>
            </w:r>
          </w:p>
          <w:p>
            <w:pPr>
              <w:pStyle w:val="null3"/>
            </w:pPr>
            <w:r>
              <w:rPr/>
              <w:t>汇票、本票提交方式：中标人应以银行承兑汇票或商业承兑汇票形式提交，且需为不可撤销、无条件付款的即期票据，收款人注明为广东交通职业技术学院。</w:t>
            </w:r>
          </w:p>
          <w:p>
            <w:pPr>
              <w:pStyle w:val="null3"/>
            </w:pPr>
            <w:r>
              <w:rPr/>
              <w:t>说明：合同签订后5个工作日内，中标人按合同总价的5%交付履约保证金给采购人，验收合格后，无质量问题，中标人无违约行为且无未结款项(包括但不限于违约金、赔偿金等)的，中标人提出申请后，采购人于15个工作日内无息返还。合同期内中标人违约退出的，其履约保证金不予退回，且采购人无需承担任何责任。合同期内中标人擅自中止履行合同超过15天或解除合同的，或因中标人原因导致采购人解除合同的，其履约保证金不予退回，且采购人无需承担任何责任。</w:t>
            </w:r>
          </w:p>
          <w:p>
            <w:pPr>
              <w:pStyle w:val="null3"/>
            </w:pPr>
            <w:r>
              <w:rPr/>
              <w:t xml:space="preserve"> 履约保证金可以以履约保函（保险）形式提供，目前"广东政府采购智慧云平台金融服务中心(https://gdgpo.czt.gd.gov.cn/zcdservice/zcd/guangdong/)已实现电子履约保函（保险）在线办理功能，有意愿供应商可自行办理提供。</w:t>
            </w:r>
          </w:p>
        </w:tc>
      </w:tr>
      <w:tr>
        <w:tc>
          <w:tcPr>
            <w:tcW w:type="dxa" w:w="4153"/>
          </w:tcPr>
          <w:p>
            <w:pPr>
              <w:pStyle w:val="null3"/>
            </w:pPr>
            <w:r>
              <w:rPr/>
              <w:t>其他</w:t>
            </w:r>
          </w:p>
        </w:tc>
        <w:tc>
          <w:tcPr>
            <w:tcW w:type="dxa" w:w="4153"/>
          </w:tcPr>
          <w:p>
            <w:pPr>
              <w:pStyle w:val="null3"/>
            </w:pPr>
            <w:r>
              <w:rPr/>
              <w:t>（一）最高限价，本项目最高限价为人民币150万元，投标总价和投标单价不得超出最高限价，否则视为无效投标。</w:t>
            </w:r>
          </w:p>
          <w:p>
            <w:pPr>
              <w:pStyle w:val="null3"/>
            </w:pPr>
            <w:r>
              <w:rPr/>
              <w:t>（二）质保期及售后服务要求，1.所有产品均需提供至少3年质量保证和原厂上门保修服务，软件5年升级，其费用包括在投标总价中。 2.保修期内，中标人提供升级系统服务，由此产生的费用均不再收取。</w:t>
            </w:r>
          </w:p>
          <w:p>
            <w:pPr>
              <w:pStyle w:val="null3"/>
            </w:pPr>
            <w:r>
              <w:rPr/>
              <w:t>（三）培训要求，1.现场培训：在设备系统安装调试、故障处理过程中，对采购人技术人员进行实际的操作和故障处理培训。 2.集中培训：中标人须协助采购人对各产品设备使用人员进行集中培训。中标人应提出详细的培训方案，提供师资力量，对用户分别按系统管理员、操作员、管理人员等进行集中培训，讲授说明设备产品、应用软件的使用、安装、配置、维护和应该注意的事项，使用户能够尽快地熟悉系统的性能。培训内容、时间、地点、人员由双方协商确定。</w:t>
            </w:r>
          </w:p>
          <w:p>
            <w:pPr>
              <w:pStyle w:val="null3"/>
            </w:pPr>
            <w:r>
              <w:rPr/>
              <w:t>（四）安装、调试，中标人为本项目提供所有软件系统的部署与安装、调试和已有应用系统集成及后期维护服务的全部内容，软件系统的部署安装的主要目标不仅是使所有软件能够在相应平台上正常运行，而且具有对软件系统运行的监控测试手段，以证明系统优化运行。提供的软件部署及安装方案能够完全满足采购人建设需要。</w:t>
            </w:r>
          </w:p>
          <w:p>
            <w:pPr>
              <w:pStyle w:val="null3"/>
            </w:pPr>
            <w:r>
              <w:rPr/>
              <w:t>（五）驻场要求，中标人须为本项目提供2名工程师驻场服务，能够在2小时内快速响应采购人反馈的相关问题。投标人需承诺可以满足以上要求，并提供盖章承诺函（格式自拟）。</w:t>
            </w:r>
          </w:p>
          <w:p>
            <w:pPr>
              <w:pStyle w:val="null3"/>
            </w:pPr>
            <w:r>
              <w:rPr/>
              <w:t>（六）服务团队，投标人拟派出的服务团队需满足以下要求： 1.本项目项目经理（限一名）：（1）具有国家教育行政主管部门认可的硕士研究生及以上学历或学位证书；（2）计算机技术与软件专业技术资格（水平）考试证书（专业：信息系统项目管理师）。 2.项目实施人员（不少于5名）：要求项目实施人员具备与项目岗位相关的职业资格或技能等级证书： （1）计算机技术与软件专业技术资格（水平）考试证书（专业：数据库系统工程师）； （2）计算机技术与软件专业技术资格（水平）考试证书（专业：软件设计师）； （3）计算机技术与软件专业技术资格（水平）考试证书（专业：系统架构设计师）； （4）计算机技术与软件专业技术资格（水平）考试证书（专业：网络工程师）。</w:t>
            </w:r>
          </w:p>
          <w:p>
            <w:pPr>
              <w:pStyle w:val="null3"/>
            </w:pPr>
            <w:r>
              <w:rPr/>
              <w:t>（七）其他，投标人须为本项目提供详细具体的投标方案，方案包括： 1.项目整体技术方案：提供的项目总体设计方案包括微服务设计思路、整体技术架构、技术路线及开发工具、设计原则、设计思路、软件系统测试方案（自测、验收测试、测试方案）。 2.项目实施方案：提供的项目实施方案包括需求分析阶段、系统配置、系统集成实施准备阶段、系统部署阶段、系统试运行阶段。</w:t>
            </w:r>
          </w:p>
        </w:tc>
      </w:tr>
    </w:tbl>
    <w:p>
      <w:pPr>
        <w:pStyle w:val="null3"/>
      </w:pPr>
      <w:r>
        <w:rPr>
          <w:b/>
        </w:rPr>
        <w:t>2.技术标准与要求</w:t>
      </w:r>
    </w:p>
    <w:tbl>
      <w:tblPr>
        <w:tblW w:w="0" w:type="auto"/>
        <w:tblBorders>
          <w:top w:val="single"/>
          <w:left w:val="single"/>
          <w:bottom w:val="single"/>
          <w:right w:val="single"/>
          <w:insideH w:val="single"/>
          <w:insideV w:val="single"/>
        </w:tblBorders>
      </w:tblPr>
      <w:tblGrid>
        <w:gridCol w:w="933"/>
        <w:gridCol w:w="933"/>
        <w:gridCol w:w="933"/>
        <w:gridCol w:w="933"/>
        <w:gridCol w:w="933"/>
        <w:gridCol w:w="933"/>
        <w:gridCol w:w="933"/>
        <w:gridCol w:w="840"/>
        <w:gridCol w:w="933"/>
      </w:tblGrid>
      <w:tr>
        <w:tc>
          <w:tcPr>
            <w:tcW w:type="dxa" w:w="933"/>
          </w:tcPr>
          <w:p>
            <w:pPr>
              <w:pStyle w:val="null3"/>
              <w:jc w:val="center"/>
            </w:pPr>
            <w:r>
              <w:rPr/>
              <w:t>序号</w:t>
            </w:r>
          </w:p>
        </w:tc>
        <w:tc>
          <w:tcPr>
            <w:tcW w:type="dxa" w:w="933"/>
          </w:tcPr>
          <w:p>
            <w:pPr>
              <w:pStyle w:val="null3"/>
              <w:jc w:val="center"/>
            </w:pPr>
            <w:r>
              <w:rPr/>
              <w:t>品目名称</w:t>
            </w:r>
          </w:p>
        </w:tc>
        <w:tc>
          <w:tcPr>
            <w:tcW w:type="dxa" w:w="933"/>
          </w:tcPr>
          <w:p>
            <w:pPr>
              <w:pStyle w:val="null3"/>
              <w:jc w:val="center"/>
            </w:pPr>
            <w:r>
              <w:rPr/>
              <w:t>标的名称</w:t>
            </w:r>
          </w:p>
        </w:tc>
        <w:tc>
          <w:tcPr>
            <w:tcW w:type="dxa" w:w="933"/>
          </w:tcPr>
          <w:p>
            <w:pPr>
              <w:pStyle w:val="null3"/>
              <w:jc w:val="center"/>
            </w:pPr>
            <w:r>
              <w:rPr/>
              <w:t>单位</w:t>
            </w:r>
          </w:p>
        </w:tc>
        <w:tc>
          <w:tcPr>
            <w:tcW w:type="dxa" w:w="933"/>
          </w:tcPr>
          <w:p>
            <w:pPr>
              <w:pStyle w:val="null3"/>
              <w:jc w:val="center"/>
            </w:pPr>
            <w:r>
              <w:rPr/>
              <w:t>数量</w:t>
            </w:r>
          </w:p>
        </w:tc>
        <w:tc>
          <w:tcPr>
            <w:tcW w:type="dxa" w:w="933"/>
          </w:tcPr>
          <w:p>
            <w:pPr>
              <w:pStyle w:val="null3"/>
              <w:jc w:val="center"/>
            </w:pPr>
            <w:r>
              <w:rPr/>
              <w:t>分项预算单价（元）</w:t>
            </w:r>
          </w:p>
        </w:tc>
        <w:tc>
          <w:tcPr>
            <w:tcW w:type="dxa" w:w="933"/>
          </w:tcPr>
          <w:p>
            <w:pPr>
              <w:pStyle w:val="null3"/>
              <w:jc w:val="center"/>
            </w:pPr>
            <w:r>
              <w:rPr/>
              <w:t>分项预算总价（元）</w:t>
            </w:r>
          </w:p>
        </w:tc>
        <w:tc>
          <w:tcPr>
            <w:tcW w:type="dxa" w:w="840"/>
          </w:tcPr>
          <w:p>
            <w:pPr>
              <w:pStyle w:val="null3"/>
            </w:pPr>
            <w:r>
              <w:rPr/>
              <w:t>所属行业</w:t>
            </w:r>
          </w:p>
        </w:tc>
        <w:tc>
          <w:tcPr>
            <w:tcW w:type="dxa" w:w="933"/>
          </w:tcPr>
          <w:p>
            <w:pPr>
              <w:pStyle w:val="null3"/>
              <w:jc w:val="center"/>
            </w:pPr>
            <w:r>
              <w:rPr/>
              <w:t>技术要求</w:t>
            </w:r>
          </w:p>
        </w:tc>
      </w:tr>
      <w:tr>
        <w:tc>
          <w:tcPr>
            <w:tcW w:type="dxa" w:w="933"/>
          </w:tcPr>
          <w:p>
            <w:pPr>
              <w:pStyle w:val="null3"/>
              <w:jc w:val="center"/>
            </w:pPr>
            <w:r>
              <w:rPr/>
              <w:t>1</w:t>
            </w:r>
          </w:p>
        </w:tc>
        <w:tc>
          <w:tcPr>
            <w:tcW w:type="dxa" w:w="933"/>
          </w:tcPr>
          <w:p>
            <w:pPr>
              <w:pStyle w:val="null3"/>
              <w:jc w:val="left"/>
            </w:pPr>
            <w:r>
              <w:rPr/>
              <w:t>软件集成实施服务</w:t>
            </w:r>
          </w:p>
        </w:tc>
        <w:tc>
          <w:tcPr>
            <w:tcW w:type="dxa" w:w="933"/>
          </w:tcPr>
          <w:p>
            <w:pPr>
              <w:pStyle w:val="null3"/>
              <w:jc w:val="left"/>
            </w:pPr>
            <w:r>
              <w:rPr/>
              <w:t>元数据</w:t>
            </w:r>
          </w:p>
        </w:tc>
        <w:tc>
          <w:tcPr>
            <w:tcW w:type="dxa" w:w="933"/>
          </w:tcPr>
          <w:p>
            <w:pPr>
              <w:pStyle w:val="null3"/>
              <w:jc w:val="left"/>
            </w:pPr>
            <w:r>
              <w:rPr/>
              <w:t>套</w:t>
            </w:r>
          </w:p>
        </w:tc>
        <w:tc>
          <w:tcPr>
            <w:tcW w:type="dxa" w:w="933"/>
          </w:tcPr>
          <w:p>
            <w:pPr>
              <w:pStyle w:val="null3"/>
              <w:jc w:val="right"/>
            </w:pPr>
            <w:r>
              <w:rPr/>
              <w:t>1.00</w:t>
            </w:r>
          </w:p>
        </w:tc>
        <w:tc>
          <w:tcPr>
            <w:tcW w:type="dxa" w:w="933"/>
          </w:tcPr>
          <w:p>
            <w:pPr>
              <w:pStyle w:val="null3"/>
              <w:jc w:val="right"/>
            </w:pPr>
            <w:r>
              <w:rPr/>
              <w:t>110,000.00</w:t>
            </w:r>
          </w:p>
        </w:tc>
        <w:tc>
          <w:tcPr>
            <w:tcW w:type="dxa" w:w="933"/>
          </w:tcPr>
          <w:p>
            <w:pPr>
              <w:pStyle w:val="null3"/>
              <w:jc w:val="right"/>
            </w:pPr>
            <w:r>
              <w:rPr/>
              <w:t>110,000.00</w:t>
            </w:r>
          </w:p>
        </w:tc>
        <w:tc>
          <w:tcPr>
            <w:tcW w:type="dxa" w:w="840"/>
          </w:tcPr>
          <w:p>
            <w:pPr>
              <w:pStyle w:val="null3"/>
            </w:pPr>
            <w:r>
              <w:rPr/>
              <w:t>软件和信息技术服务业</w:t>
            </w:r>
          </w:p>
        </w:tc>
        <w:tc>
          <w:tcPr>
            <w:tcW w:type="dxa" w:w="933"/>
          </w:tcPr>
          <w:p>
            <w:pPr>
              <w:pStyle w:val="null3"/>
            </w:pPr>
            <w:r>
              <w:rPr/>
              <w:t>详见附表一</w:t>
            </w:r>
          </w:p>
        </w:tc>
      </w:tr>
      <w:tr>
        <w:tc>
          <w:tcPr>
            <w:tcW w:type="dxa" w:w="933"/>
          </w:tcPr>
          <w:p>
            <w:pPr>
              <w:pStyle w:val="null3"/>
              <w:jc w:val="center"/>
            </w:pPr>
            <w:r>
              <w:rPr/>
              <w:t>2</w:t>
            </w:r>
          </w:p>
        </w:tc>
        <w:tc>
          <w:tcPr>
            <w:tcW w:type="dxa" w:w="933"/>
          </w:tcPr>
          <w:p>
            <w:pPr>
              <w:pStyle w:val="null3"/>
              <w:jc w:val="left"/>
            </w:pPr>
            <w:r>
              <w:rPr/>
              <w:t>软件集成实施服务</w:t>
            </w:r>
          </w:p>
        </w:tc>
        <w:tc>
          <w:tcPr>
            <w:tcW w:type="dxa" w:w="933"/>
          </w:tcPr>
          <w:p>
            <w:pPr>
              <w:pStyle w:val="null3"/>
              <w:jc w:val="left"/>
            </w:pPr>
            <w:r>
              <w:rPr/>
              <w:t>元数据标准</w:t>
            </w:r>
          </w:p>
        </w:tc>
        <w:tc>
          <w:tcPr>
            <w:tcW w:type="dxa" w:w="933"/>
          </w:tcPr>
          <w:p>
            <w:pPr>
              <w:pStyle w:val="null3"/>
              <w:jc w:val="left"/>
            </w:pPr>
            <w:r>
              <w:rPr/>
              <w:t>套</w:t>
            </w:r>
          </w:p>
        </w:tc>
        <w:tc>
          <w:tcPr>
            <w:tcW w:type="dxa" w:w="933"/>
          </w:tcPr>
          <w:p>
            <w:pPr>
              <w:pStyle w:val="null3"/>
              <w:jc w:val="right"/>
            </w:pPr>
            <w:r>
              <w:rPr/>
              <w:t>1.00</w:t>
            </w:r>
          </w:p>
        </w:tc>
        <w:tc>
          <w:tcPr>
            <w:tcW w:type="dxa" w:w="933"/>
          </w:tcPr>
          <w:p>
            <w:pPr>
              <w:pStyle w:val="null3"/>
              <w:jc w:val="right"/>
            </w:pPr>
            <w:r>
              <w:rPr/>
              <w:t>100,000.00</w:t>
            </w:r>
          </w:p>
        </w:tc>
        <w:tc>
          <w:tcPr>
            <w:tcW w:type="dxa" w:w="933"/>
          </w:tcPr>
          <w:p>
            <w:pPr>
              <w:pStyle w:val="null3"/>
              <w:jc w:val="right"/>
            </w:pPr>
            <w:r>
              <w:rPr/>
              <w:t>100,000.00</w:t>
            </w:r>
          </w:p>
        </w:tc>
        <w:tc>
          <w:tcPr>
            <w:tcW w:type="dxa" w:w="840"/>
          </w:tcPr>
          <w:p>
            <w:pPr>
              <w:pStyle w:val="null3"/>
            </w:pPr>
            <w:r>
              <w:rPr/>
              <w:t>软件和信息技术服务业</w:t>
            </w:r>
          </w:p>
        </w:tc>
        <w:tc>
          <w:tcPr>
            <w:tcW w:type="dxa" w:w="933"/>
          </w:tcPr>
          <w:p>
            <w:pPr>
              <w:pStyle w:val="null3"/>
            </w:pPr>
            <w:r>
              <w:rPr/>
              <w:t>详见附表二</w:t>
            </w:r>
          </w:p>
        </w:tc>
      </w:tr>
      <w:tr>
        <w:tc>
          <w:tcPr>
            <w:tcW w:type="dxa" w:w="933"/>
          </w:tcPr>
          <w:p>
            <w:pPr>
              <w:pStyle w:val="null3"/>
              <w:jc w:val="center"/>
            </w:pPr>
            <w:r>
              <w:rPr/>
              <w:t>3</w:t>
            </w:r>
          </w:p>
        </w:tc>
        <w:tc>
          <w:tcPr>
            <w:tcW w:type="dxa" w:w="933"/>
          </w:tcPr>
          <w:p>
            <w:pPr>
              <w:pStyle w:val="null3"/>
              <w:jc w:val="left"/>
            </w:pPr>
            <w:r>
              <w:rPr/>
              <w:t>软件集成实施服务</w:t>
            </w:r>
          </w:p>
        </w:tc>
        <w:tc>
          <w:tcPr>
            <w:tcW w:type="dxa" w:w="933"/>
          </w:tcPr>
          <w:p>
            <w:pPr>
              <w:pStyle w:val="null3"/>
              <w:jc w:val="left"/>
            </w:pPr>
            <w:r>
              <w:rPr/>
              <w:t>数据建模</w:t>
            </w:r>
          </w:p>
        </w:tc>
        <w:tc>
          <w:tcPr>
            <w:tcW w:type="dxa" w:w="933"/>
          </w:tcPr>
          <w:p>
            <w:pPr>
              <w:pStyle w:val="null3"/>
              <w:jc w:val="left"/>
            </w:pPr>
            <w:r>
              <w:rPr/>
              <w:t>套</w:t>
            </w:r>
          </w:p>
        </w:tc>
        <w:tc>
          <w:tcPr>
            <w:tcW w:type="dxa" w:w="933"/>
          </w:tcPr>
          <w:p>
            <w:pPr>
              <w:pStyle w:val="null3"/>
              <w:jc w:val="right"/>
            </w:pPr>
            <w:r>
              <w:rPr/>
              <w:t>1.00</w:t>
            </w:r>
          </w:p>
        </w:tc>
        <w:tc>
          <w:tcPr>
            <w:tcW w:type="dxa" w:w="933"/>
          </w:tcPr>
          <w:p>
            <w:pPr>
              <w:pStyle w:val="null3"/>
              <w:jc w:val="right"/>
            </w:pPr>
            <w:r>
              <w:rPr/>
              <w:t>100,000.00</w:t>
            </w:r>
          </w:p>
        </w:tc>
        <w:tc>
          <w:tcPr>
            <w:tcW w:type="dxa" w:w="933"/>
          </w:tcPr>
          <w:p>
            <w:pPr>
              <w:pStyle w:val="null3"/>
              <w:jc w:val="right"/>
            </w:pPr>
            <w:r>
              <w:rPr/>
              <w:t>100,000.00</w:t>
            </w:r>
          </w:p>
        </w:tc>
        <w:tc>
          <w:tcPr>
            <w:tcW w:type="dxa" w:w="840"/>
          </w:tcPr>
          <w:p>
            <w:pPr>
              <w:pStyle w:val="null3"/>
            </w:pPr>
            <w:r>
              <w:rPr/>
              <w:t>软件和信息技术服务业</w:t>
            </w:r>
          </w:p>
        </w:tc>
        <w:tc>
          <w:tcPr>
            <w:tcW w:type="dxa" w:w="933"/>
          </w:tcPr>
          <w:p>
            <w:pPr>
              <w:pStyle w:val="null3"/>
            </w:pPr>
            <w:r>
              <w:rPr/>
              <w:t>详见附表三</w:t>
            </w:r>
          </w:p>
        </w:tc>
      </w:tr>
      <w:tr>
        <w:tc>
          <w:tcPr>
            <w:tcW w:type="dxa" w:w="933"/>
          </w:tcPr>
          <w:p>
            <w:pPr>
              <w:pStyle w:val="null3"/>
              <w:jc w:val="center"/>
            </w:pPr>
            <w:r>
              <w:rPr/>
              <w:t>4</w:t>
            </w:r>
          </w:p>
        </w:tc>
        <w:tc>
          <w:tcPr>
            <w:tcW w:type="dxa" w:w="933"/>
          </w:tcPr>
          <w:p>
            <w:pPr>
              <w:pStyle w:val="null3"/>
              <w:jc w:val="left"/>
            </w:pPr>
            <w:r>
              <w:rPr/>
              <w:t>软件集成实施服务</w:t>
            </w:r>
          </w:p>
        </w:tc>
        <w:tc>
          <w:tcPr>
            <w:tcW w:type="dxa" w:w="933"/>
          </w:tcPr>
          <w:p>
            <w:pPr>
              <w:pStyle w:val="null3"/>
              <w:jc w:val="left"/>
            </w:pPr>
            <w:r>
              <w:rPr/>
              <w:t>数据中心</w:t>
            </w:r>
          </w:p>
        </w:tc>
        <w:tc>
          <w:tcPr>
            <w:tcW w:type="dxa" w:w="933"/>
          </w:tcPr>
          <w:p>
            <w:pPr>
              <w:pStyle w:val="null3"/>
              <w:jc w:val="left"/>
            </w:pPr>
            <w:r>
              <w:rPr/>
              <w:t>套</w:t>
            </w:r>
          </w:p>
        </w:tc>
        <w:tc>
          <w:tcPr>
            <w:tcW w:type="dxa" w:w="933"/>
          </w:tcPr>
          <w:p>
            <w:pPr>
              <w:pStyle w:val="null3"/>
              <w:jc w:val="right"/>
            </w:pPr>
            <w:r>
              <w:rPr/>
              <w:t>1.00</w:t>
            </w:r>
          </w:p>
        </w:tc>
        <w:tc>
          <w:tcPr>
            <w:tcW w:type="dxa" w:w="933"/>
          </w:tcPr>
          <w:p>
            <w:pPr>
              <w:pStyle w:val="null3"/>
              <w:jc w:val="right"/>
            </w:pPr>
            <w:r>
              <w:rPr/>
              <w:t>110,000.00</w:t>
            </w:r>
          </w:p>
        </w:tc>
        <w:tc>
          <w:tcPr>
            <w:tcW w:type="dxa" w:w="933"/>
          </w:tcPr>
          <w:p>
            <w:pPr>
              <w:pStyle w:val="null3"/>
              <w:jc w:val="right"/>
            </w:pPr>
            <w:r>
              <w:rPr/>
              <w:t>110,000.00</w:t>
            </w:r>
          </w:p>
        </w:tc>
        <w:tc>
          <w:tcPr>
            <w:tcW w:type="dxa" w:w="840"/>
          </w:tcPr>
          <w:p>
            <w:pPr>
              <w:pStyle w:val="null3"/>
            </w:pPr>
            <w:r>
              <w:rPr/>
              <w:t>软件和信息技术服务业</w:t>
            </w:r>
          </w:p>
        </w:tc>
        <w:tc>
          <w:tcPr>
            <w:tcW w:type="dxa" w:w="933"/>
          </w:tcPr>
          <w:p>
            <w:pPr>
              <w:pStyle w:val="null3"/>
            </w:pPr>
            <w:r>
              <w:rPr/>
              <w:t>详见附表四</w:t>
            </w:r>
          </w:p>
        </w:tc>
      </w:tr>
      <w:tr>
        <w:tc>
          <w:tcPr>
            <w:tcW w:type="dxa" w:w="933"/>
          </w:tcPr>
          <w:p>
            <w:pPr>
              <w:pStyle w:val="null3"/>
              <w:jc w:val="center"/>
            </w:pPr>
            <w:r>
              <w:rPr/>
              <w:t>5</w:t>
            </w:r>
          </w:p>
        </w:tc>
        <w:tc>
          <w:tcPr>
            <w:tcW w:type="dxa" w:w="933"/>
          </w:tcPr>
          <w:p>
            <w:pPr>
              <w:pStyle w:val="null3"/>
              <w:jc w:val="left"/>
            </w:pPr>
            <w:r>
              <w:rPr/>
              <w:t>软件集成实施服务</w:t>
            </w:r>
          </w:p>
        </w:tc>
        <w:tc>
          <w:tcPr>
            <w:tcW w:type="dxa" w:w="933"/>
          </w:tcPr>
          <w:p>
            <w:pPr>
              <w:pStyle w:val="null3"/>
              <w:jc w:val="left"/>
            </w:pPr>
            <w:r>
              <w:rPr/>
              <w:t>数据资产</w:t>
            </w:r>
          </w:p>
        </w:tc>
        <w:tc>
          <w:tcPr>
            <w:tcW w:type="dxa" w:w="933"/>
          </w:tcPr>
          <w:p>
            <w:pPr>
              <w:pStyle w:val="null3"/>
              <w:jc w:val="left"/>
            </w:pPr>
            <w:r>
              <w:rPr/>
              <w:t>套</w:t>
            </w:r>
          </w:p>
        </w:tc>
        <w:tc>
          <w:tcPr>
            <w:tcW w:type="dxa" w:w="933"/>
          </w:tcPr>
          <w:p>
            <w:pPr>
              <w:pStyle w:val="null3"/>
              <w:jc w:val="right"/>
            </w:pPr>
            <w:r>
              <w:rPr/>
              <w:t>1.00</w:t>
            </w:r>
          </w:p>
        </w:tc>
        <w:tc>
          <w:tcPr>
            <w:tcW w:type="dxa" w:w="933"/>
          </w:tcPr>
          <w:p>
            <w:pPr>
              <w:pStyle w:val="null3"/>
              <w:jc w:val="right"/>
            </w:pPr>
            <w:r>
              <w:rPr/>
              <w:t>100,000.00</w:t>
            </w:r>
          </w:p>
        </w:tc>
        <w:tc>
          <w:tcPr>
            <w:tcW w:type="dxa" w:w="933"/>
          </w:tcPr>
          <w:p>
            <w:pPr>
              <w:pStyle w:val="null3"/>
              <w:jc w:val="right"/>
            </w:pPr>
            <w:r>
              <w:rPr/>
              <w:t>100,000.00</w:t>
            </w:r>
          </w:p>
        </w:tc>
        <w:tc>
          <w:tcPr>
            <w:tcW w:type="dxa" w:w="840"/>
          </w:tcPr>
          <w:p>
            <w:pPr>
              <w:pStyle w:val="null3"/>
            </w:pPr>
            <w:r>
              <w:rPr/>
              <w:t>软件和信息技术服务业</w:t>
            </w:r>
          </w:p>
        </w:tc>
        <w:tc>
          <w:tcPr>
            <w:tcW w:type="dxa" w:w="933"/>
          </w:tcPr>
          <w:p>
            <w:pPr>
              <w:pStyle w:val="null3"/>
            </w:pPr>
            <w:r>
              <w:rPr/>
              <w:t>详见附表五</w:t>
            </w:r>
          </w:p>
        </w:tc>
      </w:tr>
      <w:tr>
        <w:tc>
          <w:tcPr>
            <w:tcW w:type="dxa" w:w="933"/>
          </w:tcPr>
          <w:p>
            <w:pPr>
              <w:pStyle w:val="null3"/>
              <w:jc w:val="center"/>
            </w:pPr>
            <w:r>
              <w:rPr/>
              <w:t>6</w:t>
            </w:r>
          </w:p>
        </w:tc>
        <w:tc>
          <w:tcPr>
            <w:tcW w:type="dxa" w:w="933"/>
          </w:tcPr>
          <w:p>
            <w:pPr>
              <w:pStyle w:val="null3"/>
              <w:jc w:val="left"/>
            </w:pPr>
            <w:r>
              <w:rPr/>
              <w:t>软件集成实施服务</w:t>
            </w:r>
          </w:p>
        </w:tc>
        <w:tc>
          <w:tcPr>
            <w:tcW w:type="dxa" w:w="933"/>
          </w:tcPr>
          <w:p>
            <w:pPr>
              <w:pStyle w:val="null3"/>
              <w:jc w:val="left"/>
            </w:pPr>
            <w:r>
              <w:rPr/>
              <w:t>数据集成</w:t>
            </w:r>
          </w:p>
        </w:tc>
        <w:tc>
          <w:tcPr>
            <w:tcW w:type="dxa" w:w="933"/>
          </w:tcPr>
          <w:p>
            <w:pPr>
              <w:pStyle w:val="null3"/>
              <w:jc w:val="left"/>
            </w:pPr>
            <w:r>
              <w:rPr/>
              <w:t>套</w:t>
            </w:r>
          </w:p>
        </w:tc>
        <w:tc>
          <w:tcPr>
            <w:tcW w:type="dxa" w:w="933"/>
          </w:tcPr>
          <w:p>
            <w:pPr>
              <w:pStyle w:val="null3"/>
              <w:jc w:val="right"/>
            </w:pPr>
            <w:r>
              <w:rPr/>
              <w:t>1.00</w:t>
            </w:r>
          </w:p>
        </w:tc>
        <w:tc>
          <w:tcPr>
            <w:tcW w:type="dxa" w:w="933"/>
          </w:tcPr>
          <w:p>
            <w:pPr>
              <w:pStyle w:val="null3"/>
              <w:jc w:val="right"/>
            </w:pPr>
            <w:r>
              <w:rPr/>
              <w:t>100,000.00</w:t>
            </w:r>
          </w:p>
        </w:tc>
        <w:tc>
          <w:tcPr>
            <w:tcW w:type="dxa" w:w="933"/>
          </w:tcPr>
          <w:p>
            <w:pPr>
              <w:pStyle w:val="null3"/>
              <w:jc w:val="right"/>
            </w:pPr>
            <w:r>
              <w:rPr/>
              <w:t>100,000.00</w:t>
            </w:r>
          </w:p>
        </w:tc>
        <w:tc>
          <w:tcPr>
            <w:tcW w:type="dxa" w:w="840"/>
          </w:tcPr>
          <w:p>
            <w:pPr>
              <w:pStyle w:val="null3"/>
            </w:pPr>
            <w:r>
              <w:rPr/>
              <w:t>软件和信息技术服务业</w:t>
            </w:r>
          </w:p>
        </w:tc>
        <w:tc>
          <w:tcPr>
            <w:tcW w:type="dxa" w:w="933"/>
          </w:tcPr>
          <w:p>
            <w:pPr>
              <w:pStyle w:val="null3"/>
            </w:pPr>
            <w:r>
              <w:rPr/>
              <w:t>详见附表六</w:t>
            </w:r>
          </w:p>
        </w:tc>
      </w:tr>
      <w:tr>
        <w:tc>
          <w:tcPr>
            <w:tcW w:type="dxa" w:w="933"/>
          </w:tcPr>
          <w:p>
            <w:pPr>
              <w:pStyle w:val="null3"/>
              <w:jc w:val="center"/>
            </w:pPr>
            <w:r>
              <w:rPr/>
              <w:t>7</w:t>
            </w:r>
          </w:p>
        </w:tc>
        <w:tc>
          <w:tcPr>
            <w:tcW w:type="dxa" w:w="933"/>
          </w:tcPr>
          <w:p>
            <w:pPr>
              <w:pStyle w:val="null3"/>
              <w:jc w:val="left"/>
            </w:pPr>
            <w:r>
              <w:rPr/>
              <w:t>软件集成实施服务</w:t>
            </w:r>
          </w:p>
        </w:tc>
        <w:tc>
          <w:tcPr>
            <w:tcW w:type="dxa" w:w="933"/>
          </w:tcPr>
          <w:p>
            <w:pPr>
              <w:pStyle w:val="null3"/>
              <w:jc w:val="left"/>
            </w:pPr>
            <w:r>
              <w:rPr/>
              <w:t>数据质量</w:t>
            </w:r>
          </w:p>
        </w:tc>
        <w:tc>
          <w:tcPr>
            <w:tcW w:type="dxa" w:w="933"/>
          </w:tcPr>
          <w:p>
            <w:pPr>
              <w:pStyle w:val="null3"/>
              <w:jc w:val="left"/>
            </w:pPr>
            <w:r>
              <w:rPr/>
              <w:t>套</w:t>
            </w:r>
          </w:p>
        </w:tc>
        <w:tc>
          <w:tcPr>
            <w:tcW w:type="dxa" w:w="933"/>
          </w:tcPr>
          <w:p>
            <w:pPr>
              <w:pStyle w:val="null3"/>
              <w:jc w:val="right"/>
            </w:pPr>
            <w:r>
              <w:rPr/>
              <w:t>1.00</w:t>
            </w:r>
          </w:p>
        </w:tc>
        <w:tc>
          <w:tcPr>
            <w:tcW w:type="dxa" w:w="933"/>
          </w:tcPr>
          <w:p>
            <w:pPr>
              <w:pStyle w:val="null3"/>
              <w:jc w:val="right"/>
            </w:pPr>
            <w:r>
              <w:rPr/>
              <w:t>100,000.00</w:t>
            </w:r>
          </w:p>
        </w:tc>
        <w:tc>
          <w:tcPr>
            <w:tcW w:type="dxa" w:w="933"/>
          </w:tcPr>
          <w:p>
            <w:pPr>
              <w:pStyle w:val="null3"/>
              <w:jc w:val="right"/>
            </w:pPr>
            <w:r>
              <w:rPr/>
              <w:t>100,000.00</w:t>
            </w:r>
          </w:p>
        </w:tc>
        <w:tc>
          <w:tcPr>
            <w:tcW w:type="dxa" w:w="840"/>
          </w:tcPr>
          <w:p>
            <w:pPr>
              <w:pStyle w:val="null3"/>
            </w:pPr>
            <w:r>
              <w:rPr/>
              <w:t>软件和信息技术服务业</w:t>
            </w:r>
          </w:p>
        </w:tc>
        <w:tc>
          <w:tcPr>
            <w:tcW w:type="dxa" w:w="933"/>
          </w:tcPr>
          <w:p>
            <w:pPr>
              <w:pStyle w:val="null3"/>
            </w:pPr>
            <w:r>
              <w:rPr/>
              <w:t>详见附表七</w:t>
            </w:r>
          </w:p>
        </w:tc>
      </w:tr>
      <w:tr>
        <w:tc>
          <w:tcPr>
            <w:tcW w:type="dxa" w:w="933"/>
          </w:tcPr>
          <w:p>
            <w:pPr>
              <w:pStyle w:val="null3"/>
              <w:jc w:val="center"/>
            </w:pPr>
            <w:r>
              <w:rPr/>
              <w:t>8</w:t>
            </w:r>
          </w:p>
        </w:tc>
        <w:tc>
          <w:tcPr>
            <w:tcW w:type="dxa" w:w="933"/>
          </w:tcPr>
          <w:p>
            <w:pPr>
              <w:pStyle w:val="null3"/>
              <w:jc w:val="left"/>
            </w:pPr>
            <w:r>
              <w:rPr/>
              <w:t>软件集成实施服务</w:t>
            </w:r>
          </w:p>
        </w:tc>
        <w:tc>
          <w:tcPr>
            <w:tcW w:type="dxa" w:w="933"/>
          </w:tcPr>
          <w:p>
            <w:pPr>
              <w:pStyle w:val="null3"/>
              <w:jc w:val="left"/>
            </w:pPr>
            <w:r>
              <w:rPr/>
              <w:t>数据安全</w:t>
            </w:r>
          </w:p>
        </w:tc>
        <w:tc>
          <w:tcPr>
            <w:tcW w:type="dxa" w:w="933"/>
          </w:tcPr>
          <w:p>
            <w:pPr>
              <w:pStyle w:val="null3"/>
              <w:jc w:val="left"/>
            </w:pPr>
            <w:r>
              <w:rPr/>
              <w:t>套</w:t>
            </w:r>
          </w:p>
        </w:tc>
        <w:tc>
          <w:tcPr>
            <w:tcW w:type="dxa" w:w="933"/>
          </w:tcPr>
          <w:p>
            <w:pPr>
              <w:pStyle w:val="null3"/>
              <w:jc w:val="right"/>
            </w:pPr>
            <w:r>
              <w:rPr/>
              <w:t>1.00</w:t>
            </w:r>
          </w:p>
        </w:tc>
        <w:tc>
          <w:tcPr>
            <w:tcW w:type="dxa" w:w="933"/>
          </w:tcPr>
          <w:p>
            <w:pPr>
              <w:pStyle w:val="null3"/>
              <w:jc w:val="right"/>
            </w:pPr>
            <w:r>
              <w:rPr/>
              <w:t>100,000.00</w:t>
            </w:r>
          </w:p>
        </w:tc>
        <w:tc>
          <w:tcPr>
            <w:tcW w:type="dxa" w:w="933"/>
          </w:tcPr>
          <w:p>
            <w:pPr>
              <w:pStyle w:val="null3"/>
              <w:jc w:val="right"/>
            </w:pPr>
            <w:r>
              <w:rPr/>
              <w:t>100,000.00</w:t>
            </w:r>
          </w:p>
        </w:tc>
        <w:tc>
          <w:tcPr>
            <w:tcW w:type="dxa" w:w="840"/>
          </w:tcPr>
          <w:p>
            <w:pPr>
              <w:pStyle w:val="null3"/>
            </w:pPr>
            <w:r>
              <w:rPr/>
              <w:t>软件和信息技术服务业</w:t>
            </w:r>
          </w:p>
        </w:tc>
        <w:tc>
          <w:tcPr>
            <w:tcW w:type="dxa" w:w="933"/>
          </w:tcPr>
          <w:p>
            <w:pPr>
              <w:pStyle w:val="null3"/>
            </w:pPr>
            <w:r>
              <w:rPr/>
              <w:t>详见附表八</w:t>
            </w:r>
          </w:p>
        </w:tc>
      </w:tr>
      <w:tr>
        <w:tc>
          <w:tcPr>
            <w:tcW w:type="dxa" w:w="933"/>
          </w:tcPr>
          <w:p>
            <w:pPr>
              <w:pStyle w:val="null3"/>
              <w:jc w:val="center"/>
            </w:pPr>
            <w:r>
              <w:rPr/>
              <w:t>9</w:t>
            </w:r>
          </w:p>
        </w:tc>
        <w:tc>
          <w:tcPr>
            <w:tcW w:type="dxa" w:w="933"/>
          </w:tcPr>
          <w:p>
            <w:pPr>
              <w:pStyle w:val="null3"/>
              <w:jc w:val="left"/>
            </w:pPr>
            <w:r>
              <w:rPr/>
              <w:t>软件集成实施服务</w:t>
            </w:r>
          </w:p>
        </w:tc>
        <w:tc>
          <w:tcPr>
            <w:tcW w:type="dxa" w:w="933"/>
          </w:tcPr>
          <w:p>
            <w:pPr>
              <w:pStyle w:val="null3"/>
              <w:jc w:val="left"/>
            </w:pPr>
            <w:r>
              <w:rPr/>
              <w:t>元数据中心建设服务</w:t>
            </w:r>
          </w:p>
        </w:tc>
        <w:tc>
          <w:tcPr>
            <w:tcW w:type="dxa" w:w="933"/>
          </w:tcPr>
          <w:p>
            <w:pPr>
              <w:pStyle w:val="null3"/>
              <w:jc w:val="left"/>
            </w:pPr>
            <w:r>
              <w:rPr/>
              <w:t>项</w:t>
            </w:r>
          </w:p>
        </w:tc>
        <w:tc>
          <w:tcPr>
            <w:tcW w:type="dxa" w:w="933"/>
          </w:tcPr>
          <w:p>
            <w:pPr>
              <w:pStyle w:val="null3"/>
              <w:jc w:val="right"/>
            </w:pPr>
            <w:r>
              <w:rPr/>
              <w:t>1.00</w:t>
            </w:r>
          </w:p>
        </w:tc>
        <w:tc>
          <w:tcPr>
            <w:tcW w:type="dxa" w:w="933"/>
          </w:tcPr>
          <w:p>
            <w:pPr>
              <w:pStyle w:val="null3"/>
              <w:jc w:val="right"/>
            </w:pPr>
            <w:r>
              <w:rPr/>
              <w:t>15,000.00</w:t>
            </w:r>
          </w:p>
        </w:tc>
        <w:tc>
          <w:tcPr>
            <w:tcW w:type="dxa" w:w="933"/>
          </w:tcPr>
          <w:p>
            <w:pPr>
              <w:pStyle w:val="null3"/>
              <w:jc w:val="right"/>
            </w:pPr>
            <w:r>
              <w:rPr/>
              <w:t>15,000.00</w:t>
            </w:r>
          </w:p>
        </w:tc>
        <w:tc>
          <w:tcPr>
            <w:tcW w:type="dxa" w:w="840"/>
          </w:tcPr>
          <w:p>
            <w:pPr>
              <w:pStyle w:val="null3"/>
            </w:pPr>
            <w:r>
              <w:rPr/>
              <w:t>软件和信息技术服务业</w:t>
            </w:r>
          </w:p>
        </w:tc>
        <w:tc>
          <w:tcPr>
            <w:tcW w:type="dxa" w:w="933"/>
          </w:tcPr>
          <w:p>
            <w:pPr>
              <w:pStyle w:val="null3"/>
            </w:pPr>
            <w:r>
              <w:rPr/>
              <w:t>详见附表九</w:t>
            </w:r>
          </w:p>
        </w:tc>
      </w:tr>
      <w:tr>
        <w:tc>
          <w:tcPr>
            <w:tcW w:type="dxa" w:w="933"/>
          </w:tcPr>
          <w:p>
            <w:pPr>
              <w:pStyle w:val="null3"/>
              <w:jc w:val="center"/>
            </w:pPr>
            <w:r>
              <w:rPr/>
              <w:t>10</w:t>
            </w:r>
          </w:p>
        </w:tc>
        <w:tc>
          <w:tcPr>
            <w:tcW w:type="dxa" w:w="933"/>
          </w:tcPr>
          <w:p>
            <w:pPr>
              <w:pStyle w:val="null3"/>
              <w:jc w:val="left"/>
            </w:pPr>
            <w:r>
              <w:rPr/>
              <w:t>软件集成实施服务</w:t>
            </w:r>
          </w:p>
        </w:tc>
        <w:tc>
          <w:tcPr>
            <w:tcW w:type="dxa" w:w="933"/>
          </w:tcPr>
          <w:p>
            <w:pPr>
              <w:pStyle w:val="null3"/>
              <w:jc w:val="left"/>
            </w:pPr>
            <w:r>
              <w:rPr/>
              <w:t>校级数据标准建设服务</w:t>
            </w:r>
          </w:p>
        </w:tc>
        <w:tc>
          <w:tcPr>
            <w:tcW w:type="dxa" w:w="933"/>
          </w:tcPr>
          <w:p>
            <w:pPr>
              <w:pStyle w:val="null3"/>
              <w:jc w:val="left"/>
            </w:pPr>
            <w:r>
              <w:rPr/>
              <w:t>项</w:t>
            </w:r>
          </w:p>
        </w:tc>
        <w:tc>
          <w:tcPr>
            <w:tcW w:type="dxa" w:w="933"/>
          </w:tcPr>
          <w:p>
            <w:pPr>
              <w:pStyle w:val="null3"/>
              <w:jc w:val="right"/>
            </w:pPr>
            <w:r>
              <w:rPr/>
              <w:t>1.00</w:t>
            </w:r>
          </w:p>
        </w:tc>
        <w:tc>
          <w:tcPr>
            <w:tcW w:type="dxa" w:w="933"/>
          </w:tcPr>
          <w:p>
            <w:pPr>
              <w:pStyle w:val="null3"/>
              <w:jc w:val="right"/>
            </w:pPr>
            <w:r>
              <w:rPr/>
              <w:t>30,000.00</w:t>
            </w:r>
          </w:p>
        </w:tc>
        <w:tc>
          <w:tcPr>
            <w:tcW w:type="dxa" w:w="933"/>
          </w:tcPr>
          <w:p>
            <w:pPr>
              <w:pStyle w:val="null3"/>
              <w:jc w:val="right"/>
            </w:pPr>
            <w:r>
              <w:rPr/>
              <w:t>30,000.00</w:t>
            </w:r>
          </w:p>
        </w:tc>
        <w:tc>
          <w:tcPr>
            <w:tcW w:type="dxa" w:w="840"/>
          </w:tcPr>
          <w:p>
            <w:pPr>
              <w:pStyle w:val="null3"/>
            </w:pPr>
            <w:r>
              <w:rPr/>
              <w:t>软件和信息技术服务业</w:t>
            </w:r>
          </w:p>
        </w:tc>
        <w:tc>
          <w:tcPr>
            <w:tcW w:type="dxa" w:w="933"/>
          </w:tcPr>
          <w:p>
            <w:pPr>
              <w:pStyle w:val="null3"/>
            </w:pPr>
            <w:r>
              <w:rPr/>
              <w:t>详见附表十</w:t>
            </w:r>
          </w:p>
        </w:tc>
      </w:tr>
      <w:tr>
        <w:tc>
          <w:tcPr>
            <w:tcW w:type="dxa" w:w="933"/>
          </w:tcPr>
          <w:p>
            <w:pPr>
              <w:pStyle w:val="null3"/>
              <w:jc w:val="center"/>
            </w:pPr>
            <w:r>
              <w:rPr/>
              <w:t>11</w:t>
            </w:r>
          </w:p>
        </w:tc>
        <w:tc>
          <w:tcPr>
            <w:tcW w:type="dxa" w:w="933"/>
          </w:tcPr>
          <w:p>
            <w:pPr>
              <w:pStyle w:val="null3"/>
              <w:jc w:val="left"/>
            </w:pPr>
            <w:r>
              <w:rPr/>
              <w:t>软件集成实施服务</w:t>
            </w:r>
          </w:p>
        </w:tc>
        <w:tc>
          <w:tcPr>
            <w:tcW w:type="dxa" w:w="933"/>
          </w:tcPr>
          <w:p>
            <w:pPr>
              <w:pStyle w:val="null3"/>
              <w:jc w:val="left"/>
            </w:pPr>
            <w:r>
              <w:rPr/>
              <w:t>数据建模服务</w:t>
            </w:r>
          </w:p>
        </w:tc>
        <w:tc>
          <w:tcPr>
            <w:tcW w:type="dxa" w:w="933"/>
          </w:tcPr>
          <w:p>
            <w:pPr>
              <w:pStyle w:val="null3"/>
              <w:jc w:val="left"/>
            </w:pPr>
            <w:r>
              <w:rPr/>
              <w:t>项</w:t>
            </w:r>
          </w:p>
        </w:tc>
        <w:tc>
          <w:tcPr>
            <w:tcW w:type="dxa" w:w="933"/>
          </w:tcPr>
          <w:p>
            <w:pPr>
              <w:pStyle w:val="null3"/>
              <w:jc w:val="right"/>
            </w:pPr>
            <w:r>
              <w:rPr/>
              <w:t>1.00</w:t>
            </w:r>
          </w:p>
        </w:tc>
        <w:tc>
          <w:tcPr>
            <w:tcW w:type="dxa" w:w="933"/>
          </w:tcPr>
          <w:p>
            <w:pPr>
              <w:pStyle w:val="null3"/>
              <w:jc w:val="right"/>
            </w:pPr>
            <w:r>
              <w:rPr/>
              <w:t>15,000.00</w:t>
            </w:r>
          </w:p>
        </w:tc>
        <w:tc>
          <w:tcPr>
            <w:tcW w:type="dxa" w:w="933"/>
          </w:tcPr>
          <w:p>
            <w:pPr>
              <w:pStyle w:val="null3"/>
              <w:jc w:val="right"/>
            </w:pPr>
            <w:r>
              <w:rPr/>
              <w:t>15,000.00</w:t>
            </w:r>
          </w:p>
        </w:tc>
        <w:tc>
          <w:tcPr>
            <w:tcW w:type="dxa" w:w="840"/>
          </w:tcPr>
          <w:p>
            <w:pPr>
              <w:pStyle w:val="null3"/>
            </w:pPr>
            <w:r>
              <w:rPr/>
              <w:t>软件和信息技术服务业</w:t>
            </w:r>
          </w:p>
        </w:tc>
        <w:tc>
          <w:tcPr>
            <w:tcW w:type="dxa" w:w="933"/>
          </w:tcPr>
          <w:p>
            <w:pPr>
              <w:pStyle w:val="null3"/>
            </w:pPr>
            <w:r>
              <w:rPr/>
              <w:t>详见附表十一</w:t>
            </w:r>
          </w:p>
        </w:tc>
      </w:tr>
      <w:tr>
        <w:tc>
          <w:tcPr>
            <w:tcW w:type="dxa" w:w="933"/>
          </w:tcPr>
          <w:p>
            <w:pPr>
              <w:pStyle w:val="null3"/>
              <w:jc w:val="center"/>
            </w:pPr>
            <w:r>
              <w:rPr/>
              <w:t>12</w:t>
            </w:r>
          </w:p>
        </w:tc>
        <w:tc>
          <w:tcPr>
            <w:tcW w:type="dxa" w:w="933"/>
          </w:tcPr>
          <w:p>
            <w:pPr>
              <w:pStyle w:val="null3"/>
              <w:jc w:val="left"/>
            </w:pPr>
            <w:r>
              <w:rPr/>
              <w:t>软件集成实施服务</w:t>
            </w:r>
          </w:p>
        </w:tc>
        <w:tc>
          <w:tcPr>
            <w:tcW w:type="dxa" w:w="933"/>
          </w:tcPr>
          <w:p>
            <w:pPr>
              <w:pStyle w:val="null3"/>
              <w:jc w:val="left"/>
            </w:pPr>
            <w:r>
              <w:rPr/>
              <w:t>共享数据中心迁移服务</w:t>
            </w:r>
          </w:p>
        </w:tc>
        <w:tc>
          <w:tcPr>
            <w:tcW w:type="dxa" w:w="933"/>
          </w:tcPr>
          <w:p>
            <w:pPr>
              <w:pStyle w:val="null3"/>
              <w:jc w:val="left"/>
            </w:pPr>
            <w:r>
              <w:rPr/>
              <w:t>项</w:t>
            </w:r>
          </w:p>
        </w:tc>
        <w:tc>
          <w:tcPr>
            <w:tcW w:type="dxa" w:w="933"/>
          </w:tcPr>
          <w:p>
            <w:pPr>
              <w:pStyle w:val="null3"/>
              <w:jc w:val="right"/>
            </w:pPr>
            <w:r>
              <w:rPr/>
              <w:t>1.00</w:t>
            </w:r>
          </w:p>
        </w:tc>
        <w:tc>
          <w:tcPr>
            <w:tcW w:type="dxa" w:w="933"/>
          </w:tcPr>
          <w:p>
            <w:pPr>
              <w:pStyle w:val="null3"/>
              <w:jc w:val="right"/>
            </w:pPr>
            <w:r>
              <w:rPr/>
              <w:t>30,000.00</w:t>
            </w:r>
          </w:p>
        </w:tc>
        <w:tc>
          <w:tcPr>
            <w:tcW w:type="dxa" w:w="933"/>
          </w:tcPr>
          <w:p>
            <w:pPr>
              <w:pStyle w:val="null3"/>
              <w:jc w:val="right"/>
            </w:pPr>
            <w:r>
              <w:rPr/>
              <w:t>30,000.00</w:t>
            </w:r>
          </w:p>
        </w:tc>
        <w:tc>
          <w:tcPr>
            <w:tcW w:type="dxa" w:w="840"/>
          </w:tcPr>
          <w:p>
            <w:pPr>
              <w:pStyle w:val="null3"/>
            </w:pPr>
            <w:r>
              <w:rPr/>
              <w:t>软件和信息技术服务业</w:t>
            </w:r>
          </w:p>
        </w:tc>
        <w:tc>
          <w:tcPr>
            <w:tcW w:type="dxa" w:w="933"/>
          </w:tcPr>
          <w:p>
            <w:pPr>
              <w:pStyle w:val="null3"/>
            </w:pPr>
            <w:r>
              <w:rPr/>
              <w:t>详见附表十二</w:t>
            </w:r>
          </w:p>
        </w:tc>
      </w:tr>
      <w:tr>
        <w:tc>
          <w:tcPr>
            <w:tcW w:type="dxa" w:w="933"/>
          </w:tcPr>
          <w:p>
            <w:pPr>
              <w:pStyle w:val="null3"/>
              <w:jc w:val="center"/>
            </w:pPr>
            <w:r>
              <w:rPr/>
              <w:t>13</w:t>
            </w:r>
          </w:p>
        </w:tc>
        <w:tc>
          <w:tcPr>
            <w:tcW w:type="dxa" w:w="933"/>
          </w:tcPr>
          <w:p>
            <w:pPr>
              <w:pStyle w:val="null3"/>
              <w:jc w:val="left"/>
            </w:pPr>
            <w:r>
              <w:rPr/>
              <w:t>软件集成实施服务</w:t>
            </w:r>
          </w:p>
        </w:tc>
        <w:tc>
          <w:tcPr>
            <w:tcW w:type="dxa" w:w="933"/>
          </w:tcPr>
          <w:p>
            <w:pPr>
              <w:pStyle w:val="null3"/>
              <w:jc w:val="left"/>
            </w:pPr>
            <w:r>
              <w:rPr/>
              <w:t>数据集成清洗服务</w:t>
            </w:r>
          </w:p>
        </w:tc>
        <w:tc>
          <w:tcPr>
            <w:tcW w:type="dxa" w:w="933"/>
          </w:tcPr>
          <w:p>
            <w:pPr>
              <w:pStyle w:val="null3"/>
              <w:jc w:val="left"/>
            </w:pPr>
            <w:r>
              <w:rPr/>
              <w:t>项</w:t>
            </w:r>
          </w:p>
        </w:tc>
        <w:tc>
          <w:tcPr>
            <w:tcW w:type="dxa" w:w="933"/>
          </w:tcPr>
          <w:p>
            <w:pPr>
              <w:pStyle w:val="null3"/>
              <w:jc w:val="right"/>
            </w:pPr>
            <w:r>
              <w:rPr/>
              <w:t>1.00</w:t>
            </w:r>
          </w:p>
        </w:tc>
        <w:tc>
          <w:tcPr>
            <w:tcW w:type="dxa" w:w="933"/>
          </w:tcPr>
          <w:p>
            <w:pPr>
              <w:pStyle w:val="null3"/>
              <w:jc w:val="right"/>
            </w:pPr>
            <w:r>
              <w:rPr/>
              <w:t>30,000.00</w:t>
            </w:r>
          </w:p>
        </w:tc>
        <w:tc>
          <w:tcPr>
            <w:tcW w:type="dxa" w:w="933"/>
          </w:tcPr>
          <w:p>
            <w:pPr>
              <w:pStyle w:val="null3"/>
              <w:jc w:val="right"/>
            </w:pPr>
            <w:r>
              <w:rPr/>
              <w:t>30,000.00</w:t>
            </w:r>
          </w:p>
        </w:tc>
        <w:tc>
          <w:tcPr>
            <w:tcW w:type="dxa" w:w="840"/>
          </w:tcPr>
          <w:p>
            <w:pPr>
              <w:pStyle w:val="null3"/>
            </w:pPr>
            <w:r>
              <w:rPr/>
              <w:t>软件和信息技术服务业</w:t>
            </w:r>
          </w:p>
        </w:tc>
        <w:tc>
          <w:tcPr>
            <w:tcW w:type="dxa" w:w="933"/>
          </w:tcPr>
          <w:p>
            <w:pPr>
              <w:pStyle w:val="null3"/>
            </w:pPr>
            <w:r>
              <w:rPr/>
              <w:t>详见附表十三</w:t>
            </w:r>
          </w:p>
        </w:tc>
      </w:tr>
      <w:tr>
        <w:tc>
          <w:tcPr>
            <w:tcW w:type="dxa" w:w="933"/>
          </w:tcPr>
          <w:p>
            <w:pPr>
              <w:pStyle w:val="null3"/>
              <w:jc w:val="center"/>
            </w:pPr>
            <w:r>
              <w:rPr/>
              <w:t>14</w:t>
            </w:r>
          </w:p>
        </w:tc>
        <w:tc>
          <w:tcPr>
            <w:tcW w:type="dxa" w:w="933"/>
          </w:tcPr>
          <w:p>
            <w:pPr>
              <w:pStyle w:val="null3"/>
              <w:jc w:val="left"/>
            </w:pPr>
            <w:r>
              <w:rPr/>
              <w:t>软件集成实施服务</w:t>
            </w:r>
          </w:p>
        </w:tc>
        <w:tc>
          <w:tcPr>
            <w:tcW w:type="dxa" w:w="933"/>
          </w:tcPr>
          <w:p>
            <w:pPr>
              <w:pStyle w:val="null3"/>
              <w:jc w:val="left"/>
            </w:pPr>
            <w:r>
              <w:rPr/>
              <w:t>数据共享服务</w:t>
            </w:r>
          </w:p>
        </w:tc>
        <w:tc>
          <w:tcPr>
            <w:tcW w:type="dxa" w:w="933"/>
          </w:tcPr>
          <w:p>
            <w:pPr>
              <w:pStyle w:val="null3"/>
              <w:jc w:val="left"/>
            </w:pPr>
            <w:r>
              <w:rPr/>
              <w:t>项</w:t>
            </w:r>
          </w:p>
        </w:tc>
        <w:tc>
          <w:tcPr>
            <w:tcW w:type="dxa" w:w="933"/>
          </w:tcPr>
          <w:p>
            <w:pPr>
              <w:pStyle w:val="null3"/>
              <w:jc w:val="right"/>
            </w:pPr>
            <w:r>
              <w:rPr/>
              <w:t>1.00</w:t>
            </w:r>
          </w:p>
        </w:tc>
        <w:tc>
          <w:tcPr>
            <w:tcW w:type="dxa" w:w="933"/>
          </w:tcPr>
          <w:p>
            <w:pPr>
              <w:pStyle w:val="null3"/>
              <w:jc w:val="right"/>
            </w:pPr>
            <w:r>
              <w:rPr/>
              <w:t>30,000.00</w:t>
            </w:r>
          </w:p>
        </w:tc>
        <w:tc>
          <w:tcPr>
            <w:tcW w:type="dxa" w:w="933"/>
          </w:tcPr>
          <w:p>
            <w:pPr>
              <w:pStyle w:val="null3"/>
              <w:jc w:val="right"/>
            </w:pPr>
            <w:r>
              <w:rPr/>
              <w:t>30,000.00</w:t>
            </w:r>
          </w:p>
        </w:tc>
        <w:tc>
          <w:tcPr>
            <w:tcW w:type="dxa" w:w="840"/>
          </w:tcPr>
          <w:p>
            <w:pPr>
              <w:pStyle w:val="null3"/>
            </w:pPr>
            <w:r>
              <w:rPr/>
              <w:t>软件和信息技术服务业</w:t>
            </w:r>
          </w:p>
        </w:tc>
        <w:tc>
          <w:tcPr>
            <w:tcW w:type="dxa" w:w="933"/>
          </w:tcPr>
          <w:p>
            <w:pPr>
              <w:pStyle w:val="null3"/>
            </w:pPr>
            <w:r>
              <w:rPr/>
              <w:t>详见附表十四</w:t>
            </w:r>
          </w:p>
        </w:tc>
      </w:tr>
      <w:tr>
        <w:tc>
          <w:tcPr>
            <w:tcW w:type="dxa" w:w="933"/>
          </w:tcPr>
          <w:p>
            <w:pPr>
              <w:pStyle w:val="null3"/>
              <w:jc w:val="center"/>
            </w:pPr>
            <w:r>
              <w:rPr/>
              <w:t>15</w:t>
            </w:r>
          </w:p>
        </w:tc>
        <w:tc>
          <w:tcPr>
            <w:tcW w:type="dxa" w:w="933"/>
          </w:tcPr>
          <w:p>
            <w:pPr>
              <w:pStyle w:val="null3"/>
              <w:jc w:val="left"/>
            </w:pPr>
            <w:r>
              <w:rPr/>
              <w:t>软件集成实施服务</w:t>
            </w:r>
          </w:p>
        </w:tc>
        <w:tc>
          <w:tcPr>
            <w:tcW w:type="dxa" w:w="933"/>
          </w:tcPr>
          <w:p>
            <w:pPr>
              <w:pStyle w:val="null3"/>
              <w:jc w:val="left"/>
            </w:pPr>
            <w:r>
              <w:rPr/>
              <w:t>校情概况驾驶舱</w:t>
            </w:r>
          </w:p>
        </w:tc>
        <w:tc>
          <w:tcPr>
            <w:tcW w:type="dxa" w:w="933"/>
          </w:tcPr>
          <w:p>
            <w:pPr>
              <w:pStyle w:val="null3"/>
              <w:jc w:val="left"/>
            </w:pPr>
            <w:r>
              <w:rPr/>
              <w:t>套</w:t>
            </w:r>
          </w:p>
        </w:tc>
        <w:tc>
          <w:tcPr>
            <w:tcW w:type="dxa" w:w="933"/>
          </w:tcPr>
          <w:p>
            <w:pPr>
              <w:pStyle w:val="null3"/>
              <w:jc w:val="right"/>
            </w:pPr>
            <w:r>
              <w:rPr/>
              <w:t>1.00</w:t>
            </w:r>
          </w:p>
        </w:tc>
        <w:tc>
          <w:tcPr>
            <w:tcW w:type="dxa" w:w="933"/>
          </w:tcPr>
          <w:p>
            <w:pPr>
              <w:pStyle w:val="null3"/>
              <w:jc w:val="right"/>
            </w:pPr>
            <w:r>
              <w:rPr/>
              <w:t>30,000.00</w:t>
            </w:r>
          </w:p>
        </w:tc>
        <w:tc>
          <w:tcPr>
            <w:tcW w:type="dxa" w:w="933"/>
          </w:tcPr>
          <w:p>
            <w:pPr>
              <w:pStyle w:val="null3"/>
              <w:jc w:val="right"/>
            </w:pPr>
            <w:r>
              <w:rPr/>
              <w:t>30,000.00</w:t>
            </w:r>
          </w:p>
        </w:tc>
        <w:tc>
          <w:tcPr>
            <w:tcW w:type="dxa" w:w="840"/>
          </w:tcPr>
          <w:p>
            <w:pPr>
              <w:pStyle w:val="null3"/>
            </w:pPr>
            <w:r>
              <w:rPr/>
              <w:t>软件和信息技术服务业</w:t>
            </w:r>
          </w:p>
        </w:tc>
        <w:tc>
          <w:tcPr>
            <w:tcW w:type="dxa" w:w="933"/>
          </w:tcPr>
          <w:p>
            <w:pPr>
              <w:pStyle w:val="null3"/>
            </w:pPr>
            <w:r>
              <w:rPr/>
              <w:t>详见附表十五</w:t>
            </w:r>
          </w:p>
        </w:tc>
      </w:tr>
      <w:tr>
        <w:tc>
          <w:tcPr>
            <w:tcW w:type="dxa" w:w="933"/>
          </w:tcPr>
          <w:p>
            <w:pPr>
              <w:pStyle w:val="null3"/>
              <w:jc w:val="center"/>
            </w:pPr>
            <w:r>
              <w:rPr/>
              <w:t>16</w:t>
            </w:r>
          </w:p>
        </w:tc>
        <w:tc>
          <w:tcPr>
            <w:tcW w:type="dxa" w:w="933"/>
          </w:tcPr>
          <w:p>
            <w:pPr>
              <w:pStyle w:val="null3"/>
              <w:jc w:val="left"/>
            </w:pPr>
            <w:r>
              <w:rPr/>
              <w:t>软件集成实施服务</w:t>
            </w:r>
          </w:p>
        </w:tc>
        <w:tc>
          <w:tcPr>
            <w:tcW w:type="dxa" w:w="933"/>
          </w:tcPr>
          <w:p>
            <w:pPr>
              <w:pStyle w:val="null3"/>
              <w:jc w:val="left"/>
            </w:pPr>
            <w:r>
              <w:rPr/>
              <w:t>师资力量驾驶舱</w:t>
            </w:r>
          </w:p>
        </w:tc>
        <w:tc>
          <w:tcPr>
            <w:tcW w:type="dxa" w:w="933"/>
          </w:tcPr>
          <w:p>
            <w:pPr>
              <w:pStyle w:val="null3"/>
              <w:jc w:val="left"/>
            </w:pPr>
            <w:r>
              <w:rPr/>
              <w:t>套</w:t>
            </w:r>
          </w:p>
        </w:tc>
        <w:tc>
          <w:tcPr>
            <w:tcW w:type="dxa" w:w="933"/>
          </w:tcPr>
          <w:p>
            <w:pPr>
              <w:pStyle w:val="null3"/>
              <w:jc w:val="right"/>
            </w:pPr>
            <w:r>
              <w:rPr/>
              <w:t>1.00</w:t>
            </w:r>
          </w:p>
        </w:tc>
        <w:tc>
          <w:tcPr>
            <w:tcW w:type="dxa" w:w="933"/>
          </w:tcPr>
          <w:p>
            <w:pPr>
              <w:pStyle w:val="null3"/>
              <w:jc w:val="right"/>
            </w:pPr>
            <w:r>
              <w:rPr/>
              <w:t>30,000.00</w:t>
            </w:r>
          </w:p>
        </w:tc>
        <w:tc>
          <w:tcPr>
            <w:tcW w:type="dxa" w:w="933"/>
          </w:tcPr>
          <w:p>
            <w:pPr>
              <w:pStyle w:val="null3"/>
              <w:jc w:val="right"/>
            </w:pPr>
            <w:r>
              <w:rPr/>
              <w:t>30,000.00</w:t>
            </w:r>
          </w:p>
        </w:tc>
        <w:tc>
          <w:tcPr>
            <w:tcW w:type="dxa" w:w="840"/>
          </w:tcPr>
          <w:p>
            <w:pPr>
              <w:pStyle w:val="null3"/>
            </w:pPr>
            <w:r>
              <w:rPr/>
              <w:t>软件和信息技术服务业</w:t>
            </w:r>
          </w:p>
        </w:tc>
        <w:tc>
          <w:tcPr>
            <w:tcW w:type="dxa" w:w="933"/>
          </w:tcPr>
          <w:p>
            <w:pPr>
              <w:pStyle w:val="null3"/>
            </w:pPr>
            <w:r>
              <w:rPr/>
              <w:t>详见附表十六</w:t>
            </w:r>
          </w:p>
        </w:tc>
      </w:tr>
      <w:tr>
        <w:tc>
          <w:tcPr>
            <w:tcW w:type="dxa" w:w="933"/>
          </w:tcPr>
          <w:p>
            <w:pPr>
              <w:pStyle w:val="null3"/>
              <w:jc w:val="center"/>
            </w:pPr>
            <w:r>
              <w:rPr/>
              <w:t>17</w:t>
            </w:r>
          </w:p>
        </w:tc>
        <w:tc>
          <w:tcPr>
            <w:tcW w:type="dxa" w:w="933"/>
          </w:tcPr>
          <w:p>
            <w:pPr>
              <w:pStyle w:val="null3"/>
              <w:jc w:val="left"/>
            </w:pPr>
            <w:r>
              <w:rPr/>
              <w:t>软件集成实施服务</w:t>
            </w:r>
          </w:p>
        </w:tc>
        <w:tc>
          <w:tcPr>
            <w:tcW w:type="dxa" w:w="933"/>
          </w:tcPr>
          <w:p>
            <w:pPr>
              <w:pStyle w:val="null3"/>
              <w:jc w:val="left"/>
            </w:pPr>
            <w:r>
              <w:rPr/>
              <w:t>学生工作驾驶舱</w:t>
            </w:r>
          </w:p>
        </w:tc>
        <w:tc>
          <w:tcPr>
            <w:tcW w:type="dxa" w:w="933"/>
          </w:tcPr>
          <w:p>
            <w:pPr>
              <w:pStyle w:val="null3"/>
              <w:jc w:val="left"/>
            </w:pPr>
            <w:r>
              <w:rPr/>
              <w:t>套</w:t>
            </w:r>
          </w:p>
        </w:tc>
        <w:tc>
          <w:tcPr>
            <w:tcW w:type="dxa" w:w="933"/>
          </w:tcPr>
          <w:p>
            <w:pPr>
              <w:pStyle w:val="null3"/>
              <w:jc w:val="right"/>
            </w:pPr>
            <w:r>
              <w:rPr/>
              <w:t>1.00</w:t>
            </w:r>
          </w:p>
        </w:tc>
        <w:tc>
          <w:tcPr>
            <w:tcW w:type="dxa" w:w="933"/>
          </w:tcPr>
          <w:p>
            <w:pPr>
              <w:pStyle w:val="null3"/>
              <w:jc w:val="right"/>
            </w:pPr>
            <w:r>
              <w:rPr/>
              <w:t>30,000.00</w:t>
            </w:r>
          </w:p>
        </w:tc>
        <w:tc>
          <w:tcPr>
            <w:tcW w:type="dxa" w:w="933"/>
          </w:tcPr>
          <w:p>
            <w:pPr>
              <w:pStyle w:val="null3"/>
              <w:jc w:val="right"/>
            </w:pPr>
            <w:r>
              <w:rPr/>
              <w:t>30,000.00</w:t>
            </w:r>
          </w:p>
        </w:tc>
        <w:tc>
          <w:tcPr>
            <w:tcW w:type="dxa" w:w="840"/>
          </w:tcPr>
          <w:p>
            <w:pPr>
              <w:pStyle w:val="null3"/>
            </w:pPr>
            <w:r>
              <w:rPr/>
              <w:t>软件和信息技术服务业</w:t>
            </w:r>
          </w:p>
        </w:tc>
        <w:tc>
          <w:tcPr>
            <w:tcW w:type="dxa" w:w="933"/>
          </w:tcPr>
          <w:p>
            <w:pPr>
              <w:pStyle w:val="null3"/>
            </w:pPr>
            <w:r>
              <w:rPr/>
              <w:t>详见附表十七</w:t>
            </w:r>
          </w:p>
        </w:tc>
      </w:tr>
      <w:tr>
        <w:tc>
          <w:tcPr>
            <w:tcW w:type="dxa" w:w="933"/>
          </w:tcPr>
          <w:p>
            <w:pPr>
              <w:pStyle w:val="null3"/>
              <w:jc w:val="center"/>
            </w:pPr>
            <w:r>
              <w:rPr/>
              <w:t>18</w:t>
            </w:r>
          </w:p>
        </w:tc>
        <w:tc>
          <w:tcPr>
            <w:tcW w:type="dxa" w:w="933"/>
          </w:tcPr>
          <w:p>
            <w:pPr>
              <w:pStyle w:val="null3"/>
              <w:jc w:val="left"/>
            </w:pPr>
            <w:r>
              <w:rPr/>
              <w:t>软件集成实施服务</w:t>
            </w:r>
          </w:p>
        </w:tc>
        <w:tc>
          <w:tcPr>
            <w:tcW w:type="dxa" w:w="933"/>
          </w:tcPr>
          <w:p>
            <w:pPr>
              <w:pStyle w:val="null3"/>
              <w:jc w:val="left"/>
            </w:pPr>
            <w:r>
              <w:rPr/>
              <w:t>学籍监控驾驶舱</w:t>
            </w:r>
          </w:p>
        </w:tc>
        <w:tc>
          <w:tcPr>
            <w:tcW w:type="dxa" w:w="933"/>
          </w:tcPr>
          <w:p>
            <w:pPr>
              <w:pStyle w:val="null3"/>
              <w:jc w:val="left"/>
            </w:pPr>
            <w:r>
              <w:rPr/>
              <w:t>套</w:t>
            </w:r>
          </w:p>
        </w:tc>
        <w:tc>
          <w:tcPr>
            <w:tcW w:type="dxa" w:w="933"/>
          </w:tcPr>
          <w:p>
            <w:pPr>
              <w:pStyle w:val="null3"/>
              <w:jc w:val="right"/>
            </w:pPr>
            <w:r>
              <w:rPr/>
              <w:t>1.00</w:t>
            </w:r>
          </w:p>
        </w:tc>
        <w:tc>
          <w:tcPr>
            <w:tcW w:type="dxa" w:w="933"/>
          </w:tcPr>
          <w:p>
            <w:pPr>
              <w:pStyle w:val="null3"/>
              <w:jc w:val="right"/>
            </w:pPr>
            <w:r>
              <w:rPr/>
              <w:t>30,000.00</w:t>
            </w:r>
          </w:p>
        </w:tc>
        <w:tc>
          <w:tcPr>
            <w:tcW w:type="dxa" w:w="933"/>
          </w:tcPr>
          <w:p>
            <w:pPr>
              <w:pStyle w:val="null3"/>
              <w:jc w:val="right"/>
            </w:pPr>
            <w:r>
              <w:rPr/>
              <w:t>30,000.00</w:t>
            </w:r>
          </w:p>
        </w:tc>
        <w:tc>
          <w:tcPr>
            <w:tcW w:type="dxa" w:w="840"/>
          </w:tcPr>
          <w:p>
            <w:pPr>
              <w:pStyle w:val="null3"/>
            </w:pPr>
            <w:r>
              <w:rPr/>
              <w:t>软件和信息技术服务业</w:t>
            </w:r>
          </w:p>
        </w:tc>
        <w:tc>
          <w:tcPr>
            <w:tcW w:type="dxa" w:w="933"/>
          </w:tcPr>
          <w:p>
            <w:pPr>
              <w:pStyle w:val="null3"/>
            </w:pPr>
            <w:r>
              <w:rPr/>
              <w:t>详见附表十八</w:t>
            </w:r>
          </w:p>
        </w:tc>
      </w:tr>
      <w:tr>
        <w:tc>
          <w:tcPr>
            <w:tcW w:type="dxa" w:w="933"/>
          </w:tcPr>
          <w:p>
            <w:pPr>
              <w:pStyle w:val="null3"/>
              <w:jc w:val="center"/>
            </w:pPr>
            <w:r>
              <w:rPr/>
              <w:t>19</w:t>
            </w:r>
          </w:p>
        </w:tc>
        <w:tc>
          <w:tcPr>
            <w:tcW w:type="dxa" w:w="933"/>
          </w:tcPr>
          <w:p>
            <w:pPr>
              <w:pStyle w:val="null3"/>
              <w:jc w:val="left"/>
            </w:pPr>
            <w:r>
              <w:rPr/>
              <w:t>软件集成实施服务</w:t>
            </w:r>
          </w:p>
        </w:tc>
        <w:tc>
          <w:tcPr>
            <w:tcW w:type="dxa" w:w="933"/>
          </w:tcPr>
          <w:p>
            <w:pPr>
              <w:pStyle w:val="null3"/>
              <w:jc w:val="left"/>
            </w:pPr>
            <w:r>
              <w:rPr/>
              <w:t>数字智治驾驶舱</w:t>
            </w:r>
          </w:p>
        </w:tc>
        <w:tc>
          <w:tcPr>
            <w:tcW w:type="dxa" w:w="933"/>
          </w:tcPr>
          <w:p>
            <w:pPr>
              <w:pStyle w:val="null3"/>
              <w:jc w:val="left"/>
            </w:pPr>
            <w:r>
              <w:rPr/>
              <w:t>套</w:t>
            </w:r>
          </w:p>
        </w:tc>
        <w:tc>
          <w:tcPr>
            <w:tcW w:type="dxa" w:w="933"/>
          </w:tcPr>
          <w:p>
            <w:pPr>
              <w:pStyle w:val="null3"/>
              <w:jc w:val="right"/>
            </w:pPr>
            <w:r>
              <w:rPr/>
              <w:t>1.00</w:t>
            </w:r>
          </w:p>
        </w:tc>
        <w:tc>
          <w:tcPr>
            <w:tcW w:type="dxa" w:w="933"/>
          </w:tcPr>
          <w:p>
            <w:pPr>
              <w:pStyle w:val="null3"/>
              <w:jc w:val="right"/>
            </w:pPr>
            <w:r>
              <w:rPr/>
              <w:t>30,000.00</w:t>
            </w:r>
          </w:p>
        </w:tc>
        <w:tc>
          <w:tcPr>
            <w:tcW w:type="dxa" w:w="933"/>
          </w:tcPr>
          <w:p>
            <w:pPr>
              <w:pStyle w:val="null3"/>
              <w:jc w:val="right"/>
            </w:pPr>
            <w:r>
              <w:rPr/>
              <w:t>30,000.00</w:t>
            </w:r>
          </w:p>
        </w:tc>
        <w:tc>
          <w:tcPr>
            <w:tcW w:type="dxa" w:w="840"/>
          </w:tcPr>
          <w:p>
            <w:pPr>
              <w:pStyle w:val="null3"/>
            </w:pPr>
            <w:r>
              <w:rPr/>
              <w:t>软件和信息技术服务业</w:t>
            </w:r>
          </w:p>
        </w:tc>
        <w:tc>
          <w:tcPr>
            <w:tcW w:type="dxa" w:w="933"/>
          </w:tcPr>
          <w:p>
            <w:pPr>
              <w:pStyle w:val="null3"/>
            </w:pPr>
            <w:r>
              <w:rPr/>
              <w:t>详见附表十九</w:t>
            </w:r>
          </w:p>
        </w:tc>
      </w:tr>
      <w:tr>
        <w:tc>
          <w:tcPr>
            <w:tcW w:type="dxa" w:w="933"/>
          </w:tcPr>
          <w:p>
            <w:pPr>
              <w:pStyle w:val="null3"/>
              <w:jc w:val="center"/>
            </w:pPr>
            <w:r>
              <w:rPr/>
              <w:t>20</w:t>
            </w:r>
          </w:p>
        </w:tc>
        <w:tc>
          <w:tcPr>
            <w:tcW w:type="dxa" w:w="933"/>
          </w:tcPr>
          <w:p>
            <w:pPr>
              <w:pStyle w:val="null3"/>
              <w:jc w:val="left"/>
            </w:pPr>
            <w:r>
              <w:rPr/>
              <w:t>软件集成实施服务</w:t>
            </w:r>
          </w:p>
        </w:tc>
        <w:tc>
          <w:tcPr>
            <w:tcW w:type="dxa" w:w="933"/>
          </w:tcPr>
          <w:p>
            <w:pPr>
              <w:pStyle w:val="null3"/>
              <w:jc w:val="left"/>
            </w:pPr>
            <w:r>
              <w:rPr/>
              <w:t>数字教学驾驶舱</w:t>
            </w:r>
          </w:p>
        </w:tc>
        <w:tc>
          <w:tcPr>
            <w:tcW w:type="dxa" w:w="933"/>
          </w:tcPr>
          <w:p>
            <w:pPr>
              <w:pStyle w:val="null3"/>
              <w:jc w:val="left"/>
            </w:pPr>
            <w:r>
              <w:rPr/>
              <w:t>套</w:t>
            </w:r>
          </w:p>
        </w:tc>
        <w:tc>
          <w:tcPr>
            <w:tcW w:type="dxa" w:w="933"/>
          </w:tcPr>
          <w:p>
            <w:pPr>
              <w:pStyle w:val="null3"/>
              <w:jc w:val="right"/>
            </w:pPr>
            <w:r>
              <w:rPr/>
              <w:t>1.00</w:t>
            </w:r>
          </w:p>
        </w:tc>
        <w:tc>
          <w:tcPr>
            <w:tcW w:type="dxa" w:w="933"/>
          </w:tcPr>
          <w:p>
            <w:pPr>
              <w:pStyle w:val="null3"/>
              <w:jc w:val="right"/>
            </w:pPr>
            <w:r>
              <w:rPr/>
              <w:t>30,000.00</w:t>
            </w:r>
          </w:p>
        </w:tc>
        <w:tc>
          <w:tcPr>
            <w:tcW w:type="dxa" w:w="933"/>
          </w:tcPr>
          <w:p>
            <w:pPr>
              <w:pStyle w:val="null3"/>
              <w:jc w:val="right"/>
            </w:pPr>
            <w:r>
              <w:rPr/>
              <w:t>30,000.00</w:t>
            </w:r>
          </w:p>
        </w:tc>
        <w:tc>
          <w:tcPr>
            <w:tcW w:type="dxa" w:w="840"/>
          </w:tcPr>
          <w:p>
            <w:pPr>
              <w:pStyle w:val="null3"/>
            </w:pPr>
            <w:r>
              <w:rPr/>
              <w:t>软件和信息技术服务业</w:t>
            </w:r>
          </w:p>
        </w:tc>
        <w:tc>
          <w:tcPr>
            <w:tcW w:type="dxa" w:w="933"/>
          </w:tcPr>
          <w:p>
            <w:pPr>
              <w:pStyle w:val="null3"/>
            </w:pPr>
            <w:r>
              <w:rPr/>
              <w:t>详见附表二十</w:t>
            </w:r>
          </w:p>
        </w:tc>
      </w:tr>
      <w:tr>
        <w:tc>
          <w:tcPr>
            <w:tcW w:type="dxa" w:w="933"/>
          </w:tcPr>
          <w:p>
            <w:pPr>
              <w:pStyle w:val="null3"/>
              <w:jc w:val="center"/>
            </w:pPr>
            <w:r>
              <w:rPr/>
              <w:t>21</w:t>
            </w:r>
          </w:p>
        </w:tc>
        <w:tc>
          <w:tcPr>
            <w:tcW w:type="dxa" w:w="933"/>
          </w:tcPr>
          <w:p>
            <w:pPr>
              <w:pStyle w:val="null3"/>
              <w:jc w:val="left"/>
            </w:pPr>
            <w:r>
              <w:rPr/>
              <w:t>软件集成实施服务</w:t>
            </w:r>
          </w:p>
        </w:tc>
        <w:tc>
          <w:tcPr>
            <w:tcW w:type="dxa" w:w="933"/>
          </w:tcPr>
          <w:p>
            <w:pPr>
              <w:pStyle w:val="null3"/>
              <w:jc w:val="left"/>
            </w:pPr>
            <w:r>
              <w:rPr/>
              <w:t>数字生活驾驶舱</w:t>
            </w:r>
          </w:p>
        </w:tc>
        <w:tc>
          <w:tcPr>
            <w:tcW w:type="dxa" w:w="933"/>
          </w:tcPr>
          <w:p>
            <w:pPr>
              <w:pStyle w:val="null3"/>
              <w:jc w:val="left"/>
            </w:pPr>
            <w:r>
              <w:rPr/>
              <w:t>套</w:t>
            </w:r>
          </w:p>
        </w:tc>
        <w:tc>
          <w:tcPr>
            <w:tcW w:type="dxa" w:w="933"/>
          </w:tcPr>
          <w:p>
            <w:pPr>
              <w:pStyle w:val="null3"/>
              <w:jc w:val="right"/>
            </w:pPr>
            <w:r>
              <w:rPr/>
              <w:t>1.00</w:t>
            </w:r>
          </w:p>
        </w:tc>
        <w:tc>
          <w:tcPr>
            <w:tcW w:type="dxa" w:w="933"/>
          </w:tcPr>
          <w:p>
            <w:pPr>
              <w:pStyle w:val="null3"/>
              <w:jc w:val="right"/>
            </w:pPr>
            <w:r>
              <w:rPr/>
              <w:t>30,000.00</w:t>
            </w:r>
          </w:p>
        </w:tc>
        <w:tc>
          <w:tcPr>
            <w:tcW w:type="dxa" w:w="933"/>
          </w:tcPr>
          <w:p>
            <w:pPr>
              <w:pStyle w:val="null3"/>
              <w:jc w:val="right"/>
            </w:pPr>
            <w:r>
              <w:rPr/>
              <w:t>30,000.00</w:t>
            </w:r>
          </w:p>
        </w:tc>
        <w:tc>
          <w:tcPr>
            <w:tcW w:type="dxa" w:w="840"/>
          </w:tcPr>
          <w:p>
            <w:pPr>
              <w:pStyle w:val="null3"/>
            </w:pPr>
            <w:r>
              <w:rPr/>
              <w:t>软件和信息技术服务业</w:t>
            </w:r>
          </w:p>
        </w:tc>
        <w:tc>
          <w:tcPr>
            <w:tcW w:type="dxa" w:w="933"/>
          </w:tcPr>
          <w:p>
            <w:pPr>
              <w:pStyle w:val="null3"/>
            </w:pPr>
            <w:r>
              <w:rPr/>
              <w:t>详见附表二十一</w:t>
            </w:r>
          </w:p>
        </w:tc>
      </w:tr>
      <w:tr>
        <w:tc>
          <w:tcPr>
            <w:tcW w:type="dxa" w:w="933"/>
          </w:tcPr>
          <w:p>
            <w:pPr>
              <w:pStyle w:val="null3"/>
              <w:jc w:val="center"/>
            </w:pPr>
            <w:r>
              <w:rPr/>
              <w:t>22</w:t>
            </w:r>
          </w:p>
        </w:tc>
        <w:tc>
          <w:tcPr>
            <w:tcW w:type="dxa" w:w="933"/>
          </w:tcPr>
          <w:p>
            <w:pPr>
              <w:pStyle w:val="null3"/>
              <w:jc w:val="left"/>
            </w:pPr>
            <w:r>
              <w:rPr/>
              <w:t>软件集成实施服务</w:t>
            </w:r>
          </w:p>
        </w:tc>
        <w:tc>
          <w:tcPr>
            <w:tcW w:type="dxa" w:w="933"/>
          </w:tcPr>
          <w:p>
            <w:pPr>
              <w:pStyle w:val="null3"/>
              <w:jc w:val="left"/>
            </w:pPr>
            <w:r>
              <w:rPr/>
              <w:t>系统功能</w:t>
            </w:r>
          </w:p>
        </w:tc>
        <w:tc>
          <w:tcPr>
            <w:tcW w:type="dxa" w:w="933"/>
          </w:tcPr>
          <w:p>
            <w:pPr>
              <w:pStyle w:val="null3"/>
              <w:jc w:val="left"/>
            </w:pPr>
            <w:r>
              <w:rPr/>
              <w:t>套</w:t>
            </w:r>
          </w:p>
        </w:tc>
        <w:tc>
          <w:tcPr>
            <w:tcW w:type="dxa" w:w="933"/>
          </w:tcPr>
          <w:p>
            <w:pPr>
              <w:pStyle w:val="null3"/>
              <w:jc w:val="right"/>
            </w:pPr>
            <w:r>
              <w:rPr/>
              <w:t>1.00</w:t>
            </w:r>
          </w:p>
        </w:tc>
        <w:tc>
          <w:tcPr>
            <w:tcW w:type="dxa" w:w="933"/>
          </w:tcPr>
          <w:p>
            <w:pPr>
              <w:pStyle w:val="null3"/>
              <w:jc w:val="right"/>
            </w:pPr>
            <w:r>
              <w:rPr/>
              <w:t>20,000.00</w:t>
            </w:r>
          </w:p>
        </w:tc>
        <w:tc>
          <w:tcPr>
            <w:tcW w:type="dxa" w:w="933"/>
          </w:tcPr>
          <w:p>
            <w:pPr>
              <w:pStyle w:val="null3"/>
              <w:jc w:val="right"/>
            </w:pPr>
            <w:r>
              <w:rPr/>
              <w:t>20,000.00</w:t>
            </w:r>
          </w:p>
        </w:tc>
        <w:tc>
          <w:tcPr>
            <w:tcW w:type="dxa" w:w="840"/>
          </w:tcPr>
          <w:p>
            <w:pPr>
              <w:pStyle w:val="null3"/>
            </w:pPr>
            <w:r>
              <w:rPr/>
              <w:t>软件和信息技术服务业</w:t>
            </w:r>
          </w:p>
        </w:tc>
        <w:tc>
          <w:tcPr>
            <w:tcW w:type="dxa" w:w="933"/>
          </w:tcPr>
          <w:p>
            <w:pPr>
              <w:pStyle w:val="null3"/>
            </w:pPr>
            <w:r>
              <w:rPr/>
              <w:t>详见附表二十二</w:t>
            </w:r>
          </w:p>
        </w:tc>
      </w:tr>
      <w:tr>
        <w:tc>
          <w:tcPr>
            <w:tcW w:type="dxa" w:w="933"/>
          </w:tcPr>
          <w:p>
            <w:pPr>
              <w:pStyle w:val="null3"/>
              <w:jc w:val="center"/>
            </w:pPr>
            <w:r>
              <w:rPr/>
              <w:t>23</w:t>
            </w:r>
          </w:p>
        </w:tc>
        <w:tc>
          <w:tcPr>
            <w:tcW w:type="dxa" w:w="933"/>
          </w:tcPr>
          <w:p>
            <w:pPr>
              <w:pStyle w:val="null3"/>
              <w:jc w:val="left"/>
            </w:pPr>
            <w:r>
              <w:rPr/>
              <w:t>软件集成实施服务</w:t>
            </w:r>
          </w:p>
        </w:tc>
        <w:tc>
          <w:tcPr>
            <w:tcW w:type="dxa" w:w="933"/>
          </w:tcPr>
          <w:p>
            <w:pPr>
              <w:pStyle w:val="null3"/>
              <w:jc w:val="left"/>
            </w:pPr>
            <w:r>
              <w:rPr/>
              <w:t>职业院校数字基座上报平台</w:t>
            </w:r>
          </w:p>
        </w:tc>
        <w:tc>
          <w:tcPr>
            <w:tcW w:type="dxa" w:w="933"/>
          </w:tcPr>
          <w:p>
            <w:pPr>
              <w:pStyle w:val="null3"/>
              <w:jc w:val="left"/>
            </w:pPr>
            <w:r>
              <w:rPr/>
              <w:t>套</w:t>
            </w:r>
          </w:p>
        </w:tc>
        <w:tc>
          <w:tcPr>
            <w:tcW w:type="dxa" w:w="933"/>
          </w:tcPr>
          <w:p>
            <w:pPr>
              <w:pStyle w:val="null3"/>
              <w:jc w:val="right"/>
            </w:pPr>
            <w:r>
              <w:rPr/>
              <w:t>1.00</w:t>
            </w:r>
          </w:p>
        </w:tc>
        <w:tc>
          <w:tcPr>
            <w:tcW w:type="dxa" w:w="933"/>
          </w:tcPr>
          <w:p>
            <w:pPr>
              <w:pStyle w:val="null3"/>
              <w:jc w:val="right"/>
            </w:pPr>
            <w:r>
              <w:rPr/>
              <w:t>200,000.00</w:t>
            </w:r>
          </w:p>
        </w:tc>
        <w:tc>
          <w:tcPr>
            <w:tcW w:type="dxa" w:w="933"/>
          </w:tcPr>
          <w:p>
            <w:pPr>
              <w:pStyle w:val="null3"/>
              <w:jc w:val="right"/>
            </w:pPr>
            <w:r>
              <w:rPr/>
              <w:t>200,000.00</w:t>
            </w:r>
          </w:p>
        </w:tc>
        <w:tc>
          <w:tcPr>
            <w:tcW w:type="dxa" w:w="840"/>
          </w:tcPr>
          <w:p>
            <w:pPr>
              <w:pStyle w:val="null3"/>
            </w:pPr>
            <w:r>
              <w:rPr/>
              <w:t>软件和信息技术服务业</w:t>
            </w:r>
          </w:p>
        </w:tc>
        <w:tc>
          <w:tcPr>
            <w:tcW w:type="dxa" w:w="933"/>
          </w:tcPr>
          <w:p>
            <w:pPr>
              <w:pStyle w:val="null3"/>
            </w:pPr>
            <w:r>
              <w:rPr/>
              <w:t>详见附表二十三</w:t>
            </w:r>
          </w:p>
        </w:tc>
      </w:tr>
      <w:tr>
        <w:tc>
          <w:tcPr>
            <w:tcW w:type="dxa" w:w="933"/>
          </w:tcPr>
          <w:p>
            <w:pPr>
              <w:pStyle w:val="null3"/>
              <w:jc w:val="center"/>
            </w:pPr>
            <w:r>
              <w:rPr/>
              <w:t>24</w:t>
            </w:r>
          </w:p>
        </w:tc>
        <w:tc>
          <w:tcPr>
            <w:tcW w:type="dxa" w:w="933"/>
          </w:tcPr>
          <w:p>
            <w:pPr>
              <w:pStyle w:val="null3"/>
              <w:jc w:val="left"/>
            </w:pPr>
            <w:r>
              <w:rPr/>
              <w:t>软件集成实施服务</w:t>
            </w:r>
          </w:p>
        </w:tc>
        <w:tc>
          <w:tcPr>
            <w:tcW w:type="dxa" w:w="933"/>
          </w:tcPr>
          <w:p>
            <w:pPr>
              <w:pStyle w:val="null3"/>
              <w:jc w:val="left"/>
            </w:pPr>
            <w:r>
              <w:rPr/>
              <w:t>行政办公系统升级</w:t>
            </w:r>
          </w:p>
        </w:tc>
        <w:tc>
          <w:tcPr>
            <w:tcW w:type="dxa" w:w="933"/>
          </w:tcPr>
          <w:p>
            <w:pPr>
              <w:pStyle w:val="null3"/>
              <w:jc w:val="left"/>
            </w:pPr>
            <w:r>
              <w:rPr/>
              <w:t>项</w:t>
            </w:r>
          </w:p>
        </w:tc>
        <w:tc>
          <w:tcPr>
            <w:tcW w:type="dxa" w:w="933"/>
          </w:tcPr>
          <w:p>
            <w:pPr>
              <w:pStyle w:val="null3"/>
              <w:jc w:val="right"/>
            </w:pPr>
            <w:r>
              <w:rPr/>
              <w:t>1.00</w:t>
            </w:r>
          </w:p>
        </w:tc>
        <w:tc>
          <w:tcPr>
            <w:tcW w:type="dxa" w:w="933"/>
          </w:tcPr>
          <w:p>
            <w:pPr>
              <w:pStyle w:val="null3"/>
              <w:jc w:val="right"/>
            </w:pPr>
            <w:r>
              <w:rPr/>
              <w:t>50,000.00</w:t>
            </w:r>
          </w:p>
        </w:tc>
        <w:tc>
          <w:tcPr>
            <w:tcW w:type="dxa" w:w="933"/>
          </w:tcPr>
          <w:p>
            <w:pPr>
              <w:pStyle w:val="null3"/>
              <w:jc w:val="right"/>
            </w:pPr>
            <w:r>
              <w:rPr/>
              <w:t>50,000.00</w:t>
            </w:r>
          </w:p>
        </w:tc>
        <w:tc>
          <w:tcPr>
            <w:tcW w:type="dxa" w:w="840"/>
          </w:tcPr>
          <w:p>
            <w:pPr>
              <w:pStyle w:val="null3"/>
            </w:pPr>
            <w:r>
              <w:rPr/>
              <w:t>软件和信息技术服务业</w:t>
            </w:r>
          </w:p>
        </w:tc>
        <w:tc>
          <w:tcPr>
            <w:tcW w:type="dxa" w:w="933"/>
          </w:tcPr>
          <w:p>
            <w:pPr>
              <w:pStyle w:val="null3"/>
            </w:pPr>
            <w:r>
              <w:rPr/>
              <w:t>详见附表二十四</w:t>
            </w:r>
          </w:p>
        </w:tc>
      </w:tr>
      <w:tr>
        <w:tc>
          <w:tcPr>
            <w:tcW w:type="dxa" w:w="933"/>
          </w:tcPr>
          <w:p>
            <w:pPr>
              <w:pStyle w:val="null3"/>
              <w:jc w:val="center"/>
            </w:pPr>
            <w:r>
              <w:rPr/>
              <w:t>25</w:t>
            </w:r>
          </w:p>
        </w:tc>
        <w:tc>
          <w:tcPr>
            <w:tcW w:type="dxa" w:w="933"/>
          </w:tcPr>
          <w:p>
            <w:pPr>
              <w:pStyle w:val="null3"/>
              <w:jc w:val="left"/>
            </w:pPr>
            <w:r>
              <w:rPr/>
              <w:t>软件集成实施服务</w:t>
            </w:r>
          </w:p>
        </w:tc>
        <w:tc>
          <w:tcPr>
            <w:tcW w:type="dxa" w:w="933"/>
          </w:tcPr>
          <w:p>
            <w:pPr>
              <w:pStyle w:val="null3"/>
              <w:jc w:val="left"/>
            </w:pPr>
            <w:r>
              <w:rPr/>
              <w:t>系统对接服务</w:t>
            </w:r>
          </w:p>
        </w:tc>
        <w:tc>
          <w:tcPr>
            <w:tcW w:type="dxa" w:w="933"/>
          </w:tcPr>
          <w:p>
            <w:pPr>
              <w:pStyle w:val="null3"/>
              <w:jc w:val="left"/>
            </w:pPr>
            <w:r>
              <w:rPr/>
              <w:t>项</w:t>
            </w:r>
          </w:p>
        </w:tc>
        <w:tc>
          <w:tcPr>
            <w:tcW w:type="dxa" w:w="933"/>
          </w:tcPr>
          <w:p>
            <w:pPr>
              <w:pStyle w:val="null3"/>
              <w:jc w:val="right"/>
            </w:pPr>
            <w:r>
              <w:rPr/>
              <w:t>1.00</w:t>
            </w:r>
          </w:p>
        </w:tc>
        <w:tc>
          <w:tcPr>
            <w:tcW w:type="dxa" w:w="933"/>
          </w:tcPr>
          <w:p>
            <w:pPr>
              <w:pStyle w:val="null3"/>
              <w:jc w:val="right"/>
            </w:pPr>
            <w:r>
              <w:rPr/>
              <w:t>50,000.00</w:t>
            </w:r>
          </w:p>
        </w:tc>
        <w:tc>
          <w:tcPr>
            <w:tcW w:type="dxa" w:w="933"/>
          </w:tcPr>
          <w:p>
            <w:pPr>
              <w:pStyle w:val="null3"/>
              <w:jc w:val="right"/>
            </w:pPr>
            <w:r>
              <w:rPr/>
              <w:t>50,000.00</w:t>
            </w:r>
          </w:p>
        </w:tc>
        <w:tc>
          <w:tcPr>
            <w:tcW w:type="dxa" w:w="840"/>
          </w:tcPr>
          <w:p>
            <w:pPr>
              <w:pStyle w:val="null3"/>
            </w:pPr>
            <w:r>
              <w:rPr/>
              <w:t>软件和信息技术服务业</w:t>
            </w:r>
          </w:p>
        </w:tc>
        <w:tc>
          <w:tcPr>
            <w:tcW w:type="dxa" w:w="933"/>
          </w:tcPr>
          <w:p>
            <w:pPr>
              <w:pStyle w:val="null3"/>
            </w:pPr>
            <w:r>
              <w:rPr/>
              <w:t>详见附表二十五</w:t>
            </w:r>
          </w:p>
        </w:tc>
      </w:tr>
    </w:tbl>
    <w:p>
      <w:pPr>
        <w:pStyle w:val="null3"/>
      </w:pPr>
      <w:r>
        <w:rPr>
          <w:b/>
        </w:rPr>
        <w:t>附表</w:t>
      </w:r>
      <w:r>
        <w:rPr>
          <w:b/>
        </w:rPr>
        <w:t>一</w:t>
      </w:r>
      <w:r>
        <w:rPr>
          <w:b/>
        </w:rPr>
        <w:t>：</w:t>
      </w:r>
      <w:r>
        <w:rPr>
          <w:b/>
        </w:rPr>
        <w:t>元数据</w:t>
      </w:r>
    </w:p>
    <w:tbl>
      <w:tblPr>
        <w:tblW w:w="0" w:type="auto"/>
        <w:tblBorders>
          <w:top w:val="single"/>
          <w:left w:val="single"/>
          <w:bottom w:val="single"/>
          <w:right w:val="single"/>
          <w:insideH w:val="single"/>
          <w:insideV w:val="single"/>
        </w:tblBorders>
      </w:tblPr>
      <w:tblGrid>
        <w:gridCol w:w="2076"/>
        <w:gridCol w:w="415"/>
        <w:gridCol w:w="5814"/>
      </w:tblGrid>
      <w:tr>
        <w:tc>
          <w:tcPr>
            <w:tcW w:type="dxa" w:w="2076"/>
          </w:tcPr>
          <w:p>
            <w:pPr>
              <w:pStyle w:val="null3"/>
            </w:pPr>
            <w:r>
              <w:rPr/>
              <w:t>参数性质</w:t>
            </w:r>
          </w:p>
        </w:tc>
        <w:tc>
          <w:tcPr>
            <w:tcW w:type="dxa" w:w="415"/>
          </w:tcPr>
          <w:p>
            <w:pPr>
              <w:pStyle w:val="null3"/>
            </w:pPr>
            <w:r>
              <w:rPr/>
              <w:t>序号</w:t>
            </w:r>
          </w:p>
        </w:tc>
        <w:tc>
          <w:tcPr>
            <w:tcW w:type="dxa" w:w="5814"/>
          </w:tcPr>
          <w:p>
            <w:pPr>
              <w:pStyle w:val="null3"/>
            </w:pPr>
            <w:r>
              <w:rPr/>
              <w:t>具体技术(参数)要求</w:t>
            </w:r>
          </w:p>
        </w:tc>
      </w:tr>
      <w:tr>
        <w:tc>
          <w:tcPr>
            <w:tcW w:type="dxa" w:w="2076"/>
          </w:tcPr>
          <w:p/>
        </w:tc>
        <w:tc>
          <w:tcPr>
            <w:tcW w:type="dxa" w:w="415"/>
          </w:tcPr>
          <w:p>
            <w:pPr>
              <w:pStyle w:val="null3"/>
            </w:pPr>
            <w:r>
              <w:rPr/>
              <w:t>1</w:t>
            </w:r>
          </w:p>
        </w:tc>
        <w:tc>
          <w:tcPr>
            <w:tcW w:type="dxa" w:w="5814"/>
          </w:tcPr>
          <w:p>
            <w:pPr>
              <w:pStyle w:val="null3"/>
            </w:pPr>
            <w:r>
              <w:rPr/>
              <w:t>1.功能指标</w:t>
            </w:r>
          </w:p>
          <w:p>
            <w:pPr>
              <w:pStyle w:val="null3"/>
            </w:pPr>
            <w:r>
              <w:rPr/>
              <w:t>(1)元模型管理</w:t>
            </w:r>
          </w:p>
          <w:p>
            <w:pPr>
              <w:pStyle w:val="null3"/>
            </w:pPr>
            <w:r>
              <w:rPr/>
              <w:t>1)元模型定义有哪些元数据，将元数据分为业务属性、技术属性、管理属性三大类，统一管理业务库、数据湖、数据仓库、数据集市四层元数据。</w:t>
            </w:r>
          </w:p>
        </w:tc>
      </w:tr>
      <w:tr>
        <w:tc>
          <w:tcPr>
            <w:tcW w:type="dxa" w:w="2076"/>
          </w:tcPr>
          <w:p/>
        </w:tc>
        <w:tc>
          <w:tcPr>
            <w:tcW w:type="dxa" w:w="415"/>
          </w:tcPr>
          <w:p>
            <w:pPr>
              <w:pStyle w:val="null3"/>
            </w:pPr>
            <w:r>
              <w:rPr/>
              <w:t>2</w:t>
            </w:r>
          </w:p>
        </w:tc>
        <w:tc>
          <w:tcPr>
            <w:tcW w:type="dxa" w:w="5814"/>
          </w:tcPr>
          <w:p>
            <w:pPr>
              <w:pStyle w:val="null3"/>
            </w:pPr>
            <w:r>
              <w:rPr/>
              <w:t>2)已内置关系型数据包、大数据包、文件系统包等常见元模型包；数据源、表、字段、视图、主键、外键、索引等常见元数据类型，作为初始化配置，用户可直接使用。比如，表模型属性主要包括表名称、表注释、表类型、ETL流程、调度策略、上游表、下游表等技术属性；业务描述、中文简称、标签、数据标准、数据质量规则等业务属性；来源部门、来源系统、共享等级、安全等级、更新周期等管理属性。</w:t>
            </w:r>
          </w:p>
        </w:tc>
      </w:tr>
      <w:tr>
        <w:tc>
          <w:tcPr>
            <w:tcW w:type="dxa" w:w="2076"/>
          </w:tcPr>
          <w:p/>
        </w:tc>
        <w:tc>
          <w:tcPr>
            <w:tcW w:type="dxa" w:w="415"/>
          </w:tcPr>
          <w:p>
            <w:pPr>
              <w:pStyle w:val="null3"/>
            </w:pPr>
            <w:r>
              <w:rPr/>
              <w:t>3</w:t>
            </w:r>
          </w:p>
        </w:tc>
        <w:tc>
          <w:tcPr>
            <w:tcW w:type="dxa" w:w="5814"/>
          </w:tcPr>
          <w:p>
            <w:pPr>
              <w:pStyle w:val="null3"/>
            </w:pPr>
            <w:r>
              <w:rPr/>
              <w:t>3)支持新增自定义的元模型包与元模型属性。提供元模型属性的查询、增加、修改、删除等功能，可以改变属性的分类、解释、是否启用等配置项。通过元模型，可以灵活便捷地决定需要哪些与展示哪些元数据。</w:t>
            </w:r>
            <w:r>
              <w:rPr>
                <w:b/>
              </w:rPr>
              <w:t>（提供现场演示）</w:t>
            </w:r>
          </w:p>
        </w:tc>
      </w:tr>
      <w:tr>
        <w:tc>
          <w:tcPr>
            <w:tcW w:type="dxa" w:w="2076"/>
          </w:tcPr>
          <w:p/>
        </w:tc>
        <w:tc>
          <w:tcPr>
            <w:tcW w:type="dxa" w:w="415"/>
          </w:tcPr>
          <w:p>
            <w:pPr>
              <w:pStyle w:val="null3"/>
            </w:pPr>
            <w:r>
              <w:rPr/>
              <w:t>4</w:t>
            </w:r>
          </w:p>
        </w:tc>
        <w:tc>
          <w:tcPr>
            <w:tcW w:type="dxa" w:w="5814"/>
          </w:tcPr>
          <w:p>
            <w:pPr>
              <w:pStyle w:val="null3"/>
              <w:ind w:left="525"/>
              <w:jc w:val="both"/>
            </w:pPr>
            <w:r>
              <w:rPr>
                <w:sz w:val="21"/>
                <w:color w:val="000000"/>
              </w:rPr>
              <w:t>2.</w:t>
            </w:r>
            <w:r>
              <w:rPr>
                <w:sz w:val="21"/>
                <w:color w:val="000000"/>
              </w:rPr>
              <w:t>元数据采集</w:t>
            </w:r>
          </w:p>
          <w:p>
            <w:pPr>
              <w:pStyle w:val="null3"/>
            </w:pPr>
            <w:r>
              <w:rPr>
                <w:sz w:val="21"/>
                <w:color w:val="000000"/>
              </w:rPr>
              <w:t>1)</w:t>
            </w:r>
            <w:r>
              <w:rPr>
                <w:sz w:val="21"/>
                <w:color w:val="000000"/>
              </w:rPr>
              <w:t>支持以卡片与列表两种形式展示所有的数据源。支持新增、修改、删除数据源。支持根据不同的数据源类型选择基本模式或域名模式登记数据源，绑定业务系统，并支持进行连接测试是否正常连接。</w:t>
            </w:r>
          </w:p>
        </w:tc>
      </w:tr>
      <w:tr>
        <w:tc>
          <w:tcPr>
            <w:tcW w:type="dxa" w:w="2076"/>
          </w:tcPr>
          <w:p/>
        </w:tc>
        <w:tc>
          <w:tcPr>
            <w:tcW w:type="dxa" w:w="415"/>
          </w:tcPr>
          <w:p>
            <w:pPr>
              <w:pStyle w:val="null3"/>
            </w:pPr>
            <w:r>
              <w:rPr/>
              <w:t>5</w:t>
            </w:r>
          </w:p>
        </w:tc>
        <w:tc>
          <w:tcPr>
            <w:tcW w:type="dxa" w:w="5814"/>
          </w:tcPr>
          <w:p>
            <w:pPr>
              <w:pStyle w:val="null3"/>
            </w:pPr>
            <w:r>
              <w:rPr/>
              <w:t>2)支持以卡片形式展示所有的适配器。支持新增、修改适配器。已内置常见的各种数据源类型适配器，支持主流数据库包括但不限于MySQL、Oracle、SQL Server、PostgreSQL、Doris、Greenplum、openGauss等数据源；支持国产化数据库金仓、达梦，支持NoSQL如MongoDB、Redis、Elasticsearch；支持Hadoop体系如Hive、HDFS；也支持消息系统如Kafka，以及文件系统FTP、SFTP。</w:t>
            </w:r>
            <w:r>
              <w:rPr>
                <w:b/>
              </w:rPr>
              <w:t>【要求提供系统截图，并能说明上述参数、功能或材料，并加盖投标人公章】</w:t>
            </w:r>
          </w:p>
        </w:tc>
      </w:tr>
      <w:tr>
        <w:tc>
          <w:tcPr>
            <w:tcW w:type="dxa" w:w="2076"/>
          </w:tcPr>
          <w:p/>
        </w:tc>
        <w:tc>
          <w:tcPr>
            <w:tcW w:type="dxa" w:w="415"/>
          </w:tcPr>
          <w:p>
            <w:pPr>
              <w:pStyle w:val="null3"/>
            </w:pPr>
            <w:r>
              <w:rPr/>
              <w:t>6</w:t>
            </w:r>
          </w:p>
        </w:tc>
        <w:tc>
          <w:tcPr>
            <w:tcW w:type="dxa" w:w="5814"/>
          </w:tcPr>
          <w:p>
            <w:pPr>
              <w:pStyle w:val="null3"/>
            </w:pPr>
            <w:r>
              <w:rPr/>
              <w:t>3)支持查看、查询、新增、修改、删除、启用、停用采集任务。支持将采集任务绑定数据源与调度策略，可以根据调度策略定时执行元数据采集任务，也可以手动执行。支持同时选择数据源下的多个采集对象。</w:t>
            </w:r>
          </w:p>
        </w:tc>
      </w:tr>
      <w:tr>
        <w:tc>
          <w:tcPr>
            <w:tcW w:type="dxa" w:w="2076"/>
          </w:tcPr>
          <w:p/>
        </w:tc>
        <w:tc>
          <w:tcPr>
            <w:tcW w:type="dxa" w:w="415"/>
          </w:tcPr>
          <w:p>
            <w:pPr>
              <w:pStyle w:val="null3"/>
            </w:pPr>
            <w:r>
              <w:rPr/>
              <w:t>7</w:t>
            </w:r>
          </w:p>
        </w:tc>
        <w:tc>
          <w:tcPr>
            <w:tcW w:type="dxa" w:w="5814"/>
          </w:tcPr>
          <w:p>
            <w:pPr>
              <w:pStyle w:val="null3"/>
            </w:pPr>
            <w:r>
              <w:rPr/>
              <w:t>4)支持查看、查询历史所有的采集任务日志，包括每一次任务的名称、数据源名称、采集对象、任务状态、耗时等。支持查看采集详情，包括这个库下面采集了多少表，表下面多少字段、主键、外键、索引。</w:t>
            </w:r>
          </w:p>
        </w:tc>
      </w:tr>
      <w:tr>
        <w:tc>
          <w:tcPr>
            <w:tcW w:type="dxa" w:w="2076"/>
          </w:tcPr>
          <w:p/>
        </w:tc>
        <w:tc>
          <w:tcPr>
            <w:tcW w:type="dxa" w:w="415"/>
          </w:tcPr>
          <w:p>
            <w:pPr>
              <w:pStyle w:val="null3"/>
            </w:pPr>
            <w:r>
              <w:rPr/>
              <w:t>8</w:t>
            </w:r>
          </w:p>
        </w:tc>
        <w:tc>
          <w:tcPr>
            <w:tcW w:type="dxa" w:w="5814"/>
          </w:tcPr>
          <w:p>
            <w:pPr>
              <w:pStyle w:val="null3"/>
            </w:pPr>
            <w:r>
              <w:rPr/>
              <w:t>3.元数据管理</w:t>
            </w:r>
          </w:p>
          <w:p>
            <w:pPr>
              <w:pStyle w:val="null3"/>
            </w:pPr>
            <w:r>
              <w:rPr/>
              <w:t>1)支持在最新元数据中查看业务库、数据湖、数据仓库、数据集市的四层元数据，支持以数据源-目录-表-字段的层级结构下钻查看每一级别、类型的元数据信息。支持在树结构中根据关键字搜索元数据。</w:t>
            </w:r>
          </w:p>
        </w:tc>
      </w:tr>
      <w:tr>
        <w:tc>
          <w:tcPr>
            <w:tcW w:type="dxa" w:w="2076"/>
          </w:tcPr>
          <w:p/>
        </w:tc>
        <w:tc>
          <w:tcPr>
            <w:tcW w:type="dxa" w:w="415"/>
          </w:tcPr>
          <w:p>
            <w:pPr>
              <w:pStyle w:val="null3"/>
            </w:pPr>
            <w:r>
              <w:rPr/>
              <w:t>9</w:t>
            </w:r>
          </w:p>
        </w:tc>
        <w:tc>
          <w:tcPr>
            <w:tcW w:type="dxa" w:w="5814"/>
          </w:tcPr>
          <w:p>
            <w:pPr>
              <w:pStyle w:val="null3"/>
            </w:pPr>
            <w:r>
              <w:rPr/>
              <w:t>2)支持将业务库、数据湖、数据仓库、数据集市的四层元数据作为一个整体进行发版操作，作为一个定版元数据保留历史记录，并自动更新一个版本号。</w:t>
            </w:r>
          </w:p>
        </w:tc>
      </w:tr>
      <w:tr>
        <w:tc>
          <w:tcPr>
            <w:tcW w:type="dxa" w:w="2076"/>
          </w:tcPr>
          <w:p/>
        </w:tc>
        <w:tc>
          <w:tcPr>
            <w:tcW w:type="dxa" w:w="415"/>
          </w:tcPr>
          <w:p>
            <w:pPr>
              <w:pStyle w:val="null3"/>
            </w:pPr>
            <w:r>
              <w:rPr/>
              <w:t>10</w:t>
            </w:r>
          </w:p>
        </w:tc>
        <w:tc>
          <w:tcPr>
            <w:tcW w:type="dxa" w:w="5814"/>
          </w:tcPr>
          <w:p>
            <w:pPr>
              <w:pStyle w:val="null3"/>
            </w:pPr>
            <w:r>
              <w:rPr/>
              <w:t>3)支持按照基本信息、业务属性、技术属性、管理属性的分类展示数据源、库/目录、表、字段等不同级别各自的元数据信息。并可以根据配置的元模型属性，对元数据信息进行编辑。</w:t>
            </w:r>
          </w:p>
        </w:tc>
      </w:tr>
      <w:tr>
        <w:tc>
          <w:tcPr>
            <w:tcW w:type="dxa" w:w="2076"/>
          </w:tcPr>
          <w:p/>
        </w:tc>
        <w:tc>
          <w:tcPr>
            <w:tcW w:type="dxa" w:w="415"/>
          </w:tcPr>
          <w:p>
            <w:pPr>
              <w:pStyle w:val="null3"/>
            </w:pPr>
            <w:r>
              <w:rPr/>
              <w:t>11</w:t>
            </w:r>
          </w:p>
        </w:tc>
        <w:tc>
          <w:tcPr>
            <w:tcW w:type="dxa" w:w="5814"/>
          </w:tcPr>
          <w:p>
            <w:pPr>
              <w:pStyle w:val="null3"/>
            </w:pPr>
            <w:r>
              <w:rPr/>
              <w:t>4)支持查看每一级别的元数据组成，比如在目录/库这一级别，可以看到下面有多少表或视图。在表这一层次，看到下面有哪些字段、主键、外键、索引。</w:t>
            </w:r>
          </w:p>
        </w:tc>
      </w:tr>
      <w:tr>
        <w:tc>
          <w:tcPr>
            <w:tcW w:type="dxa" w:w="2076"/>
          </w:tcPr>
          <w:p/>
        </w:tc>
        <w:tc>
          <w:tcPr>
            <w:tcW w:type="dxa" w:w="415"/>
          </w:tcPr>
          <w:p>
            <w:pPr>
              <w:pStyle w:val="null3"/>
            </w:pPr>
            <w:r>
              <w:rPr/>
              <w:t>12</w:t>
            </w:r>
          </w:p>
        </w:tc>
        <w:tc>
          <w:tcPr>
            <w:tcW w:type="dxa" w:w="5814"/>
          </w:tcPr>
          <w:p>
            <w:pPr>
              <w:pStyle w:val="null3"/>
            </w:pPr>
            <w:r>
              <w:rPr/>
              <w:t>5)支持手动新增表级元数据，采集方式标记为手动添加，并且支持继续往下添加字段。支持删除手动添加的表级与字段级元数据。支持单独对某张表或视图的元数据重新进行采集，若有变化，同时更新到变更详情的记录里面去。</w:t>
            </w:r>
          </w:p>
        </w:tc>
      </w:tr>
      <w:tr>
        <w:tc>
          <w:tcPr>
            <w:tcW w:type="dxa" w:w="2076"/>
          </w:tcPr>
          <w:p/>
        </w:tc>
        <w:tc>
          <w:tcPr>
            <w:tcW w:type="dxa" w:w="415"/>
          </w:tcPr>
          <w:p>
            <w:pPr>
              <w:pStyle w:val="null3"/>
            </w:pPr>
            <w:r>
              <w:rPr/>
              <w:t>13</w:t>
            </w:r>
          </w:p>
        </w:tc>
        <w:tc>
          <w:tcPr>
            <w:tcW w:type="dxa" w:w="5814"/>
          </w:tcPr>
          <w:p>
            <w:pPr>
              <w:pStyle w:val="null3"/>
            </w:pPr>
            <w:r>
              <w:rPr/>
              <w:t>6)支持根据英文名与中文名查询各类型元数据。</w:t>
            </w:r>
          </w:p>
        </w:tc>
      </w:tr>
      <w:tr>
        <w:tc>
          <w:tcPr>
            <w:tcW w:type="dxa" w:w="2076"/>
          </w:tcPr>
          <w:p/>
        </w:tc>
        <w:tc>
          <w:tcPr>
            <w:tcW w:type="dxa" w:w="415"/>
          </w:tcPr>
          <w:p>
            <w:pPr>
              <w:pStyle w:val="null3"/>
            </w:pPr>
            <w:r>
              <w:rPr/>
              <w:t>14</w:t>
            </w:r>
          </w:p>
        </w:tc>
        <w:tc>
          <w:tcPr>
            <w:tcW w:type="dxa" w:w="5814"/>
          </w:tcPr>
          <w:p>
            <w:pPr>
              <w:pStyle w:val="null3"/>
            </w:pPr>
            <w:r>
              <w:rPr/>
              <w:t>7)支持根据表英文名（首字母）、表中文名、记录行数对表格进行排序。</w:t>
            </w:r>
          </w:p>
        </w:tc>
      </w:tr>
      <w:tr>
        <w:tc>
          <w:tcPr>
            <w:tcW w:type="dxa" w:w="2076"/>
          </w:tcPr>
          <w:p/>
        </w:tc>
        <w:tc>
          <w:tcPr>
            <w:tcW w:type="dxa" w:w="415"/>
          </w:tcPr>
          <w:p>
            <w:pPr>
              <w:pStyle w:val="null3"/>
            </w:pPr>
            <w:r>
              <w:rPr/>
              <w:t>15</w:t>
            </w:r>
          </w:p>
        </w:tc>
        <w:tc>
          <w:tcPr>
            <w:tcW w:type="dxa" w:w="5814"/>
          </w:tcPr>
          <w:p>
            <w:pPr>
              <w:pStyle w:val="null3"/>
            </w:pPr>
            <w:r>
              <w:rPr/>
              <w:t>8)支持从后台获取该目录下所有表的记录行数并更新，以方便辅助判断是否为空表。</w:t>
            </w:r>
          </w:p>
        </w:tc>
      </w:tr>
      <w:tr>
        <w:tc>
          <w:tcPr>
            <w:tcW w:type="dxa" w:w="2076"/>
          </w:tcPr>
          <w:p/>
        </w:tc>
        <w:tc>
          <w:tcPr>
            <w:tcW w:type="dxa" w:w="415"/>
          </w:tcPr>
          <w:p>
            <w:pPr>
              <w:pStyle w:val="null3"/>
            </w:pPr>
            <w:r>
              <w:rPr/>
              <w:t>16</w:t>
            </w:r>
          </w:p>
        </w:tc>
        <w:tc>
          <w:tcPr>
            <w:tcW w:type="dxa" w:w="5814"/>
          </w:tcPr>
          <w:p>
            <w:pPr>
              <w:pStyle w:val="null3"/>
            </w:pPr>
            <w:r>
              <w:rPr/>
              <w:t>9)支持在表级别元数据查看这张表或视图的数据。</w:t>
            </w:r>
          </w:p>
        </w:tc>
      </w:tr>
      <w:tr>
        <w:tc>
          <w:tcPr>
            <w:tcW w:type="dxa" w:w="2076"/>
          </w:tcPr>
          <w:p/>
        </w:tc>
        <w:tc>
          <w:tcPr>
            <w:tcW w:type="dxa" w:w="415"/>
          </w:tcPr>
          <w:p>
            <w:pPr>
              <w:pStyle w:val="null3"/>
            </w:pPr>
            <w:r>
              <w:rPr/>
              <w:t>17</w:t>
            </w:r>
          </w:p>
        </w:tc>
        <w:tc>
          <w:tcPr>
            <w:tcW w:type="dxa" w:w="5814"/>
          </w:tcPr>
          <w:p>
            <w:pPr>
              <w:pStyle w:val="null3"/>
            </w:pPr>
            <w:r>
              <w:rPr/>
              <w:t>10)支持对从业务库采集上来的单表进行分析，填写中文名称、表类型、入湖入仓情况、分析原因等。也支持批量分析，可以批量标记表类型、批量标记入湖入仓。</w:t>
            </w:r>
          </w:p>
        </w:tc>
      </w:tr>
      <w:tr>
        <w:tc>
          <w:tcPr>
            <w:tcW w:type="dxa" w:w="2076"/>
          </w:tcPr>
          <w:p/>
        </w:tc>
        <w:tc>
          <w:tcPr>
            <w:tcW w:type="dxa" w:w="415"/>
          </w:tcPr>
          <w:p>
            <w:pPr>
              <w:pStyle w:val="null3"/>
            </w:pPr>
            <w:r>
              <w:rPr/>
              <w:t>18</w:t>
            </w:r>
          </w:p>
        </w:tc>
        <w:tc>
          <w:tcPr>
            <w:tcW w:type="dxa" w:w="5814"/>
          </w:tcPr>
          <w:p>
            <w:pPr>
              <w:pStyle w:val="null3"/>
            </w:pPr>
            <w:r>
              <w:rPr/>
              <w:t>11)支持修改字段的中文名称，并查看当前字段对标的信息标准与分析状态。</w:t>
            </w:r>
          </w:p>
        </w:tc>
      </w:tr>
      <w:tr>
        <w:tc>
          <w:tcPr>
            <w:tcW w:type="dxa" w:w="2076"/>
          </w:tcPr>
          <w:p/>
        </w:tc>
        <w:tc>
          <w:tcPr>
            <w:tcW w:type="dxa" w:w="415"/>
          </w:tcPr>
          <w:p>
            <w:pPr>
              <w:pStyle w:val="null3"/>
            </w:pPr>
            <w:r>
              <w:rPr/>
              <w:t>19</w:t>
            </w:r>
          </w:p>
        </w:tc>
        <w:tc>
          <w:tcPr>
            <w:tcW w:type="dxa" w:w="5814"/>
          </w:tcPr>
          <w:p>
            <w:pPr>
              <w:pStyle w:val="null3"/>
            </w:pPr>
            <w:r>
              <w:rPr/>
              <w:t>12)支持一键入湖操作，自动为标记为入湖的表批量创建入湖流程。</w:t>
            </w:r>
          </w:p>
        </w:tc>
      </w:tr>
      <w:tr>
        <w:tc>
          <w:tcPr>
            <w:tcW w:type="dxa" w:w="2076"/>
          </w:tcPr>
          <w:p/>
        </w:tc>
        <w:tc>
          <w:tcPr>
            <w:tcW w:type="dxa" w:w="415"/>
          </w:tcPr>
          <w:p>
            <w:pPr>
              <w:pStyle w:val="null3"/>
            </w:pPr>
            <w:r>
              <w:rPr/>
              <w:t>20</w:t>
            </w:r>
          </w:p>
        </w:tc>
        <w:tc>
          <w:tcPr>
            <w:tcW w:type="dxa" w:w="5814"/>
          </w:tcPr>
          <w:p>
            <w:pPr>
              <w:pStyle w:val="null3"/>
            </w:pPr>
            <w:r>
              <w:rPr/>
              <w:t>13)支持导入导出分析翻译结果与分析结果。首先导出对标结果，在线下excel模板中填写好翻译与对标结果后，导入到系统进行校验，校验通过后方可对表分析页面进行覆盖，并保留对标映射关系。</w:t>
            </w:r>
          </w:p>
        </w:tc>
      </w:tr>
      <w:tr>
        <w:tc>
          <w:tcPr>
            <w:tcW w:type="dxa" w:w="2076"/>
          </w:tcPr>
          <w:p/>
        </w:tc>
        <w:tc>
          <w:tcPr>
            <w:tcW w:type="dxa" w:w="415"/>
          </w:tcPr>
          <w:p>
            <w:pPr>
              <w:pStyle w:val="null3"/>
            </w:pPr>
            <w:r>
              <w:rPr/>
              <w:t>21</w:t>
            </w:r>
          </w:p>
        </w:tc>
        <w:tc>
          <w:tcPr>
            <w:tcW w:type="dxa" w:w="5814"/>
          </w:tcPr>
          <w:p>
            <w:pPr>
              <w:pStyle w:val="null3"/>
            </w:pPr>
            <w:r>
              <w:rPr/>
              <w:t>14)提供可视化拖拽对标方式。通过将源表（业务库元数据）与标准表拖拽到中心画布然后进行手动连线的方式，建立字段级别的映射关系。</w:t>
            </w:r>
          </w:p>
        </w:tc>
      </w:tr>
      <w:tr>
        <w:tc>
          <w:tcPr>
            <w:tcW w:type="dxa" w:w="2076"/>
          </w:tcPr>
          <w:p/>
        </w:tc>
        <w:tc>
          <w:tcPr>
            <w:tcW w:type="dxa" w:w="415"/>
          </w:tcPr>
          <w:p>
            <w:pPr>
              <w:pStyle w:val="null3"/>
            </w:pPr>
            <w:r>
              <w:rPr/>
              <w:t>22</w:t>
            </w:r>
          </w:p>
        </w:tc>
        <w:tc>
          <w:tcPr>
            <w:tcW w:type="dxa" w:w="5814"/>
          </w:tcPr>
          <w:p>
            <w:pPr>
              <w:pStyle w:val="null3"/>
            </w:pPr>
            <w:r>
              <w:rPr/>
              <w:t>15)支持可视化拖拽代码对标，将源代码表与代码标准的字段建立连线关系，可以先将整体的代码表根据规则自动拆分成一些子代码表，再进行对标。</w:t>
            </w:r>
          </w:p>
        </w:tc>
      </w:tr>
      <w:tr>
        <w:tc>
          <w:tcPr>
            <w:tcW w:type="dxa" w:w="2076"/>
          </w:tcPr>
          <w:p/>
        </w:tc>
        <w:tc>
          <w:tcPr>
            <w:tcW w:type="dxa" w:w="415"/>
          </w:tcPr>
          <w:p>
            <w:pPr>
              <w:pStyle w:val="null3"/>
            </w:pPr>
            <w:r>
              <w:rPr/>
              <w:t>23</w:t>
            </w:r>
          </w:p>
        </w:tc>
        <w:tc>
          <w:tcPr>
            <w:tcW w:type="dxa" w:w="5814"/>
          </w:tcPr>
          <w:p>
            <w:pPr>
              <w:pStyle w:val="null3"/>
            </w:pPr>
            <w:r>
              <w:rPr/>
              <w:t>16)支持在对标时查看源表或标准表下属字段的详细信息，支持过滤掉画布中部分字段的显示以更加简洁的方式呈现。同时支持查看源表智能推荐的映射标准。</w:t>
            </w:r>
          </w:p>
        </w:tc>
      </w:tr>
      <w:tr>
        <w:tc>
          <w:tcPr>
            <w:tcW w:type="dxa" w:w="2076"/>
          </w:tcPr>
          <w:p/>
        </w:tc>
        <w:tc>
          <w:tcPr>
            <w:tcW w:type="dxa" w:w="415"/>
          </w:tcPr>
          <w:p>
            <w:pPr>
              <w:pStyle w:val="null3"/>
            </w:pPr>
            <w:r>
              <w:rPr/>
              <w:t>24</w:t>
            </w:r>
          </w:p>
        </w:tc>
        <w:tc>
          <w:tcPr>
            <w:tcW w:type="dxa" w:w="5814"/>
          </w:tcPr>
          <w:p>
            <w:pPr>
              <w:pStyle w:val="null3"/>
            </w:pPr>
            <w:r>
              <w:rPr/>
              <w:t>17)如果对标的过程中需要扩标，支持在右边的标准树中新增、修改、删除分类、标准表，标准字段。</w:t>
            </w:r>
          </w:p>
        </w:tc>
      </w:tr>
      <w:tr>
        <w:tc>
          <w:tcPr>
            <w:tcW w:type="dxa" w:w="2076"/>
          </w:tcPr>
          <w:p/>
        </w:tc>
        <w:tc>
          <w:tcPr>
            <w:tcW w:type="dxa" w:w="415"/>
          </w:tcPr>
          <w:p>
            <w:pPr>
              <w:pStyle w:val="null3"/>
            </w:pPr>
            <w:r>
              <w:rPr/>
              <w:t>25</w:t>
            </w:r>
          </w:p>
        </w:tc>
        <w:tc>
          <w:tcPr>
            <w:tcW w:type="dxa" w:w="5814"/>
          </w:tcPr>
          <w:p>
            <w:pPr>
              <w:pStyle w:val="null3"/>
            </w:pPr>
            <w:r>
              <w:rPr/>
              <w:t>18)支持保存对标结果，记录每张表的对标完成字段数，可以手动标记是否完成对标。支持加载上一次保存的对标结果并可以继续对标。</w:t>
            </w:r>
          </w:p>
        </w:tc>
      </w:tr>
      <w:tr>
        <w:tc>
          <w:tcPr>
            <w:tcW w:type="dxa" w:w="2076"/>
          </w:tcPr>
          <w:p/>
        </w:tc>
        <w:tc>
          <w:tcPr>
            <w:tcW w:type="dxa" w:w="415"/>
          </w:tcPr>
          <w:p>
            <w:pPr>
              <w:pStyle w:val="null3"/>
            </w:pPr>
            <w:r>
              <w:rPr/>
              <w:t>26</w:t>
            </w:r>
          </w:p>
        </w:tc>
        <w:tc>
          <w:tcPr>
            <w:tcW w:type="dxa" w:w="5814"/>
          </w:tcPr>
          <w:p>
            <w:pPr>
              <w:pStyle w:val="null3"/>
            </w:pPr>
            <w:r>
              <w:rPr/>
              <w:t>19)支持以卡片与表格两种形式展示所有历史版本的元数据的信息。卡片形式显示发布人和发布时间。表格形式显示各版本中各种类型元数据的数量。</w:t>
            </w:r>
          </w:p>
        </w:tc>
      </w:tr>
      <w:tr>
        <w:tc>
          <w:tcPr>
            <w:tcW w:type="dxa" w:w="2076"/>
          </w:tcPr>
          <w:p/>
        </w:tc>
        <w:tc>
          <w:tcPr>
            <w:tcW w:type="dxa" w:w="415"/>
          </w:tcPr>
          <w:p>
            <w:pPr>
              <w:pStyle w:val="null3"/>
            </w:pPr>
            <w:r>
              <w:rPr/>
              <w:t>27</w:t>
            </w:r>
          </w:p>
        </w:tc>
        <w:tc>
          <w:tcPr>
            <w:tcW w:type="dxa" w:w="5814"/>
          </w:tcPr>
          <w:p>
            <w:pPr>
              <w:pStyle w:val="null3"/>
            </w:pPr>
            <w:r>
              <w:rPr/>
              <w:t>20)支持以树结构查看某一历史版本的元数据目录与该版本的所有元数据信息。所有的页面展示同最新元数据，但只能查看，不能操作与更改。</w:t>
            </w:r>
          </w:p>
        </w:tc>
      </w:tr>
      <w:tr>
        <w:tc>
          <w:tcPr>
            <w:tcW w:type="dxa" w:w="2076"/>
          </w:tcPr>
          <w:p/>
        </w:tc>
        <w:tc>
          <w:tcPr>
            <w:tcW w:type="dxa" w:w="415"/>
          </w:tcPr>
          <w:p>
            <w:pPr>
              <w:pStyle w:val="null3"/>
            </w:pPr>
            <w:r>
              <w:rPr/>
              <w:t>28</w:t>
            </w:r>
          </w:p>
        </w:tc>
        <w:tc>
          <w:tcPr>
            <w:tcW w:type="dxa" w:w="5814"/>
          </w:tcPr>
          <w:p>
            <w:pPr>
              <w:pStyle w:val="null3"/>
            </w:pPr>
            <w:r>
              <w:rPr/>
              <w:t>21)支持将不同的元数据版本进行对比，以表格的形式展示不同版本之间不同元数据层次与类型的数量差距。</w:t>
            </w:r>
          </w:p>
        </w:tc>
      </w:tr>
      <w:tr>
        <w:tc>
          <w:tcPr>
            <w:tcW w:type="dxa" w:w="2076"/>
          </w:tcPr>
          <w:p/>
        </w:tc>
        <w:tc>
          <w:tcPr>
            <w:tcW w:type="dxa" w:w="415"/>
          </w:tcPr>
          <w:p>
            <w:pPr>
              <w:pStyle w:val="null3"/>
            </w:pPr>
            <w:r>
              <w:rPr/>
              <w:t>29</w:t>
            </w:r>
          </w:p>
        </w:tc>
        <w:tc>
          <w:tcPr>
            <w:tcW w:type="dxa" w:w="5814"/>
          </w:tcPr>
          <w:p>
            <w:pPr>
              <w:pStyle w:val="null3"/>
            </w:pPr>
            <w:r>
              <w:rPr/>
              <w:t>22)支持查看元数据变更统计情况，以时间轴方式查看最近的变更历史，以及图表展现元数据变更方式统计，元数据变更次数统计，元数据分类型变更情况统计、元数据分范围变更情况统计。</w:t>
            </w:r>
          </w:p>
        </w:tc>
      </w:tr>
      <w:tr>
        <w:tc>
          <w:tcPr>
            <w:tcW w:type="dxa" w:w="2076"/>
          </w:tcPr>
          <w:p/>
        </w:tc>
        <w:tc>
          <w:tcPr>
            <w:tcW w:type="dxa" w:w="415"/>
          </w:tcPr>
          <w:p>
            <w:pPr>
              <w:pStyle w:val="null3"/>
            </w:pPr>
            <w:r>
              <w:rPr/>
              <w:t>30</w:t>
            </w:r>
          </w:p>
        </w:tc>
        <w:tc>
          <w:tcPr>
            <w:tcW w:type="dxa" w:w="5814"/>
          </w:tcPr>
          <w:p>
            <w:pPr>
              <w:pStyle w:val="null3"/>
            </w:pPr>
            <w:r>
              <w:rPr/>
              <w:t>23)支持查看元数据变更详情，查看具体表或视图的元数据新增、修改、删除的情况。针对业务库元数据的变更，可以手动执行变更，标记完成状态。</w:t>
            </w:r>
          </w:p>
        </w:tc>
      </w:tr>
      <w:tr>
        <w:tc>
          <w:tcPr>
            <w:tcW w:type="dxa" w:w="2076"/>
          </w:tcPr>
          <w:p/>
        </w:tc>
        <w:tc>
          <w:tcPr>
            <w:tcW w:type="dxa" w:w="415"/>
          </w:tcPr>
          <w:p>
            <w:pPr>
              <w:pStyle w:val="null3"/>
            </w:pPr>
            <w:r>
              <w:rPr/>
              <w:t>31</w:t>
            </w:r>
          </w:p>
        </w:tc>
        <w:tc>
          <w:tcPr>
            <w:tcW w:type="dxa" w:w="5814"/>
          </w:tcPr>
          <w:p>
            <w:pPr>
              <w:pStyle w:val="null3"/>
            </w:pPr>
            <w:r>
              <w:rPr/>
              <w:t>4.元数据分析</w:t>
            </w:r>
          </w:p>
          <w:p>
            <w:pPr>
              <w:pStyle w:val="null3"/>
            </w:pPr>
            <w:r>
              <w:rPr/>
              <w:t>1)支持以可视化图形方式查看任意一层元数据的上下游链路情况。支持进行全链分析、影响分析或血缘分析，按照表级别或字段级别显示链路，支持定位到某一个张表某一具体的字段找到它的上下游字段。当发现数据问题时，支持方便快速定位数据问题的源头与影响情况。</w:t>
            </w:r>
            <w:r>
              <w:rPr>
                <w:b/>
              </w:rPr>
              <w:t>【要求提供系统截图，并能说明上述参数、功能或材料，并加盖投标人公章】</w:t>
            </w:r>
          </w:p>
        </w:tc>
      </w:tr>
      <w:tr>
        <w:tc>
          <w:tcPr>
            <w:tcW w:type="dxa" w:w="2076"/>
          </w:tcPr>
          <w:p/>
        </w:tc>
        <w:tc>
          <w:tcPr>
            <w:tcW w:type="dxa" w:w="415"/>
          </w:tcPr>
          <w:p>
            <w:pPr>
              <w:pStyle w:val="null3"/>
            </w:pPr>
            <w:r>
              <w:rPr/>
              <w:t>32</w:t>
            </w:r>
          </w:p>
        </w:tc>
        <w:tc>
          <w:tcPr>
            <w:tcW w:type="dxa" w:w="5814"/>
          </w:tcPr>
          <w:p>
            <w:pPr>
              <w:pStyle w:val="null3"/>
            </w:pPr>
            <w:r>
              <w:rPr/>
              <w:t>2)支持查看任意一张数据表的数据在上下游链路的变化情况。通过搜索某一条数据，对比数据在它的上下游表中的数据，发现它们之间的异同。</w:t>
            </w:r>
          </w:p>
        </w:tc>
      </w:tr>
      <w:tr>
        <w:tc>
          <w:tcPr>
            <w:tcW w:type="dxa" w:w="2076"/>
          </w:tcPr>
          <w:p/>
        </w:tc>
        <w:tc>
          <w:tcPr>
            <w:tcW w:type="dxa" w:w="415"/>
          </w:tcPr>
          <w:p>
            <w:pPr>
              <w:pStyle w:val="null3"/>
            </w:pPr>
            <w:r>
              <w:rPr/>
              <w:t>33</w:t>
            </w:r>
          </w:p>
        </w:tc>
        <w:tc>
          <w:tcPr>
            <w:tcW w:type="dxa" w:w="5814"/>
          </w:tcPr>
          <w:p>
            <w:pPr>
              <w:pStyle w:val="null3"/>
            </w:pPr>
            <w:r>
              <w:rPr/>
              <w:t>3)支持分业务系统对采集到的业务库元数据进行统计分析，包含各个业务系统的采集总表数、采集表注释率、采集字段数、采集字段注释率、各类型表数量、入湖入仓情况、采集任务与变更情况等。</w:t>
            </w:r>
          </w:p>
        </w:tc>
      </w:tr>
      <w:tr>
        <w:tc>
          <w:tcPr>
            <w:tcW w:type="dxa" w:w="2076"/>
          </w:tcPr>
          <w:p/>
        </w:tc>
        <w:tc>
          <w:tcPr>
            <w:tcW w:type="dxa" w:w="415"/>
          </w:tcPr>
          <w:p>
            <w:pPr>
              <w:pStyle w:val="null3"/>
            </w:pPr>
            <w:r>
              <w:rPr/>
              <w:t>34</w:t>
            </w:r>
          </w:p>
        </w:tc>
        <w:tc>
          <w:tcPr>
            <w:tcW w:type="dxa" w:w="5814"/>
          </w:tcPr>
          <w:p>
            <w:pPr>
              <w:pStyle w:val="null3"/>
            </w:pPr>
            <w:r>
              <w:rPr/>
              <w:t>5.元数据检索</w:t>
            </w:r>
          </w:p>
          <w:p>
            <w:pPr>
              <w:pStyle w:val="null3"/>
            </w:pPr>
            <w:r>
              <w:rPr/>
              <w:t>1)支持百度式全局搜索所有的元数据。支持输入元数据英文名称或中文名称进行检索。支持按照元数据类型、元数据来源、元数据版本等条件过滤，过滤条件支持保存，让用户支持将常用的过滤条件保存使用，以便能够更加快速浏览所需元数据。支持按照相关度与时间对搜索结果进行排序，点击搜索结果下钻定位到详情页面。</w:t>
            </w:r>
          </w:p>
        </w:tc>
      </w:tr>
      <w:tr>
        <w:tc>
          <w:tcPr>
            <w:tcW w:type="dxa" w:w="2076"/>
          </w:tcPr>
          <w:p>
            <w:pPr>
              <w:pStyle w:val="null3"/>
            </w:pPr>
            <w:r>
              <w:rPr/>
              <w:t>说明</w:t>
            </w:r>
          </w:p>
        </w:tc>
        <w:tc>
          <w:tcPr>
            <w:tcW w:type="dxa" w:w="6229"/>
            <w:gridSpan w:val="2"/>
          </w:tcPr>
          <w:p>
            <w:pPr>
              <w:pStyle w:val="null3"/>
              <w:jc w:val="left"/>
            </w:pPr>
            <w:r>
              <w:rPr/>
              <w:t xml:space="preserve"> 打“★”号条款为实质性条款，若有任何一条负偏离或不满足则导致投标无效。 </w:t>
            </w:r>
            <w:r>
              <w:br/>
            </w:r>
            <w:r>
              <w:rPr/>
              <w:t>打“▲”号条款为重要技术参数，若有部分“▲”条款未响应或不满足，不作为无效投标条款。</w:t>
            </w:r>
          </w:p>
        </w:tc>
      </w:tr>
    </w:tbl>
    <w:p>
      <w:pPr>
        <w:pStyle w:val="null3"/>
      </w:pPr>
      <w:r>
        <w:rPr>
          <w:b/>
        </w:rPr>
        <w:t>附表</w:t>
      </w:r>
      <w:r>
        <w:rPr>
          <w:b/>
        </w:rPr>
        <w:t>二</w:t>
      </w:r>
      <w:r>
        <w:rPr>
          <w:b/>
        </w:rPr>
        <w:t>：</w:t>
      </w:r>
      <w:r>
        <w:rPr>
          <w:b/>
        </w:rPr>
        <w:t>元数据标准</w:t>
      </w:r>
    </w:p>
    <w:tbl>
      <w:tblPr>
        <w:tblW w:w="0" w:type="auto"/>
        <w:tblBorders>
          <w:top w:val="single"/>
          <w:left w:val="single"/>
          <w:bottom w:val="single"/>
          <w:right w:val="single"/>
          <w:insideH w:val="single"/>
          <w:insideV w:val="single"/>
        </w:tblBorders>
      </w:tblPr>
      <w:tblGrid>
        <w:gridCol w:w="2076"/>
        <w:gridCol w:w="415"/>
        <w:gridCol w:w="5814"/>
      </w:tblGrid>
      <w:tr>
        <w:tc>
          <w:tcPr>
            <w:tcW w:type="dxa" w:w="2076"/>
          </w:tcPr>
          <w:p>
            <w:pPr>
              <w:pStyle w:val="null3"/>
            </w:pPr>
            <w:r>
              <w:rPr/>
              <w:t>参数性质</w:t>
            </w:r>
          </w:p>
        </w:tc>
        <w:tc>
          <w:tcPr>
            <w:tcW w:type="dxa" w:w="415"/>
          </w:tcPr>
          <w:p>
            <w:pPr>
              <w:pStyle w:val="null3"/>
            </w:pPr>
            <w:r>
              <w:rPr/>
              <w:t>序号</w:t>
            </w:r>
          </w:p>
        </w:tc>
        <w:tc>
          <w:tcPr>
            <w:tcW w:type="dxa" w:w="5814"/>
          </w:tcPr>
          <w:p>
            <w:pPr>
              <w:pStyle w:val="null3"/>
            </w:pPr>
            <w:r>
              <w:rPr/>
              <w:t>具体技术(参数)要求</w:t>
            </w:r>
          </w:p>
        </w:tc>
      </w:tr>
      <w:tr>
        <w:tc>
          <w:tcPr>
            <w:tcW w:type="dxa" w:w="2076"/>
          </w:tcPr>
          <w:p/>
        </w:tc>
        <w:tc>
          <w:tcPr>
            <w:tcW w:type="dxa" w:w="415"/>
          </w:tcPr>
          <w:p>
            <w:pPr>
              <w:pStyle w:val="null3"/>
            </w:pPr>
            <w:r>
              <w:rPr/>
              <w:t>1</w:t>
            </w:r>
          </w:p>
        </w:tc>
        <w:tc>
          <w:tcPr>
            <w:tcW w:type="dxa" w:w="5814"/>
          </w:tcPr>
          <w:p>
            <w:pPr>
              <w:pStyle w:val="null3"/>
            </w:pPr>
            <w:r>
              <w:rPr/>
              <w:t>1.标准管理</w:t>
            </w:r>
          </w:p>
          <w:p>
            <w:pPr>
              <w:pStyle w:val="null3"/>
            </w:pPr>
            <w:r>
              <w:rPr/>
              <w:t>1)提供规范现有的信息标准信息项唯一性的可视化操作平台，通过现有信息标准的录入和微调来整理一份信息标准，为以后规范信息标准打下基础。</w:t>
            </w:r>
          </w:p>
        </w:tc>
      </w:tr>
      <w:tr>
        <w:tc>
          <w:tcPr>
            <w:tcW w:type="dxa" w:w="2076"/>
          </w:tcPr>
          <w:p/>
        </w:tc>
        <w:tc>
          <w:tcPr>
            <w:tcW w:type="dxa" w:w="415"/>
          </w:tcPr>
          <w:p>
            <w:pPr>
              <w:pStyle w:val="null3"/>
            </w:pPr>
            <w:r>
              <w:rPr/>
              <w:t>2</w:t>
            </w:r>
          </w:p>
        </w:tc>
        <w:tc>
          <w:tcPr>
            <w:tcW w:type="dxa" w:w="5814"/>
          </w:tcPr>
          <w:p>
            <w:pPr>
              <w:pStyle w:val="null3"/>
            </w:pPr>
            <w:r>
              <w:rPr/>
              <w:t>2)支持可视化阅览业务域大纲图谱，实现业务域树菜单拖拽，支持业务域分类排序和挂载。支持业务域信息细分为目录和数据表，数据表是业务域模块数据的基本组成单位，也是后续版本发布、系统建模的基本引用对象。而目录则用作对业务表进行归类汇总。</w:t>
            </w:r>
          </w:p>
        </w:tc>
      </w:tr>
      <w:tr>
        <w:tc>
          <w:tcPr>
            <w:tcW w:type="dxa" w:w="2076"/>
          </w:tcPr>
          <w:p/>
        </w:tc>
        <w:tc>
          <w:tcPr>
            <w:tcW w:type="dxa" w:w="415"/>
          </w:tcPr>
          <w:p>
            <w:pPr>
              <w:pStyle w:val="null3"/>
            </w:pPr>
            <w:r>
              <w:rPr/>
              <w:t>3</w:t>
            </w:r>
          </w:p>
        </w:tc>
        <w:tc>
          <w:tcPr>
            <w:tcW w:type="dxa" w:w="5814"/>
          </w:tcPr>
          <w:p>
            <w:pPr>
              <w:pStyle w:val="null3"/>
            </w:pPr>
            <w:r>
              <w:rPr/>
              <w:t>3)支持管理维护数据字段。管理数据字段信息包括字段名称、字段注释、字段类型长度、是否为空、是否主键等和便于使用者管理数据仓库的拓展管理属性。</w:t>
            </w:r>
          </w:p>
        </w:tc>
      </w:tr>
      <w:tr>
        <w:tc>
          <w:tcPr>
            <w:tcW w:type="dxa" w:w="2076"/>
          </w:tcPr>
          <w:p/>
        </w:tc>
        <w:tc>
          <w:tcPr>
            <w:tcW w:type="dxa" w:w="415"/>
          </w:tcPr>
          <w:p>
            <w:pPr>
              <w:pStyle w:val="null3"/>
            </w:pPr>
            <w:r>
              <w:rPr/>
              <w:t>4</w:t>
            </w:r>
          </w:p>
        </w:tc>
        <w:tc>
          <w:tcPr>
            <w:tcW w:type="dxa" w:w="5814"/>
          </w:tcPr>
          <w:p>
            <w:pPr>
              <w:pStyle w:val="null3"/>
            </w:pPr>
            <w:r>
              <w:rPr/>
              <w:t>4)支持数据字段拆分合并，应对通过业务分析进行拆分或合并数据表需要，实现不同数据表之间的数据字段相互移动。支持维护业务来源表、字段结构信息，为后续进行数据建模提供真实来源信息。</w:t>
            </w:r>
          </w:p>
        </w:tc>
      </w:tr>
      <w:tr>
        <w:tc>
          <w:tcPr>
            <w:tcW w:type="dxa" w:w="2076"/>
          </w:tcPr>
          <w:p/>
        </w:tc>
        <w:tc>
          <w:tcPr>
            <w:tcW w:type="dxa" w:w="415"/>
          </w:tcPr>
          <w:p>
            <w:pPr>
              <w:pStyle w:val="null3"/>
            </w:pPr>
            <w:r>
              <w:rPr/>
              <w:t>5</w:t>
            </w:r>
          </w:p>
        </w:tc>
        <w:tc>
          <w:tcPr>
            <w:tcW w:type="dxa" w:w="5814"/>
          </w:tcPr>
          <w:p>
            <w:pPr>
              <w:pStyle w:val="null3"/>
            </w:pPr>
            <w:r>
              <w:rPr/>
              <w:t>5)支持管理维护代码分类和代码表。代码采用规律的编码方法，规定了指定代码集的分类或类别，适用于指定对象，代码表为代码项的集合，主要为后续数据清洗提供依据或凭证。代码项为基本数据元素，用于相关信息处理之间的信息交换，依据编码规则，相同系列代码项组成代码集合。</w:t>
            </w:r>
          </w:p>
        </w:tc>
      </w:tr>
      <w:tr>
        <w:tc>
          <w:tcPr>
            <w:tcW w:type="dxa" w:w="2076"/>
          </w:tcPr>
          <w:p/>
        </w:tc>
        <w:tc>
          <w:tcPr>
            <w:tcW w:type="dxa" w:w="415"/>
          </w:tcPr>
          <w:p>
            <w:pPr>
              <w:pStyle w:val="null3"/>
            </w:pPr>
            <w:r>
              <w:rPr/>
              <w:t>6</w:t>
            </w:r>
          </w:p>
        </w:tc>
        <w:tc>
          <w:tcPr>
            <w:tcW w:type="dxa" w:w="5814"/>
          </w:tcPr>
          <w:p>
            <w:pPr>
              <w:pStyle w:val="null3"/>
            </w:pPr>
            <w:r>
              <w:rPr/>
              <w:t>6)支持代码拆分合并，应对通过业务分析进行拆分或合并代码集，实现不同代码表之间的代码项相互移动。</w:t>
            </w:r>
          </w:p>
        </w:tc>
      </w:tr>
      <w:tr>
        <w:tc>
          <w:tcPr>
            <w:tcW w:type="dxa" w:w="2076"/>
          </w:tcPr>
          <w:p/>
        </w:tc>
        <w:tc>
          <w:tcPr>
            <w:tcW w:type="dxa" w:w="415"/>
          </w:tcPr>
          <w:p>
            <w:pPr>
              <w:pStyle w:val="null3"/>
            </w:pPr>
            <w:r>
              <w:rPr/>
              <w:t>7</w:t>
            </w:r>
          </w:p>
        </w:tc>
        <w:tc>
          <w:tcPr>
            <w:tcW w:type="dxa" w:w="5814"/>
          </w:tcPr>
          <w:p>
            <w:pPr>
              <w:pStyle w:val="null3"/>
            </w:pPr>
            <w:r>
              <w:rPr/>
              <w:t>2.标准导入</w:t>
            </w:r>
          </w:p>
          <w:p>
            <w:pPr>
              <w:pStyle w:val="null3"/>
            </w:pPr>
            <w:r>
              <w:rPr/>
              <w:t>1)支持标准导入。要求按照表、字段、代码、代码项的形式，从excel模板中整理好数据，按照一系列的规则校验之后，根据校验显示出来的新增、修改、异常、重复等信息进行修改和重新校验，进而审核导入业务域、字段、代码、代码项。</w:t>
            </w:r>
          </w:p>
        </w:tc>
      </w:tr>
      <w:tr>
        <w:tc>
          <w:tcPr>
            <w:tcW w:type="dxa" w:w="2076"/>
          </w:tcPr>
          <w:p/>
        </w:tc>
        <w:tc>
          <w:tcPr>
            <w:tcW w:type="dxa" w:w="415"/>
          </w:tcPr>
          <w:p>
            <w:pPr>
              <w:pStyle w:val="null3"/>
            </w:pPr>
            <w:r>
              <w:rPr/>
              <w:t>8</w:t>
            </w:r>
          </w:p>
        </w:tc>
        <w:tc>
          <w:tcPr>
            <w:tcW w:type="dxa" w:w="5814"/>
          </w:tcPr>
          <w:p>
            <w:pPr>
              <w:pStyle w:val="null3"/>
            </w:pPr>
            <w:r>
              <w:rPr/>
              <w:t>2)导入页面上包括了所有历史导入信息与审核记录，列表展示依次为序号、导入名称、导入人、导入时间、导入结果、审核人、审核时间、审核状态、操作。</w:t>
            </w:r>
            <w:r>
              <w:rPr>
                <w:b/>
              </w:rPr>
              <w:t>【要求提供系统截图，并能说明上述参数、功能或材料，并加盖投标人公章】</w:t>
            </w:r>
          </w:p>
        </w:tc>
      </w:tr>
      <w:tr>
        <w:tc>
          <w:tcPr>
            <w:tcW w:type="dxa" w:w="2076"/>
          </w:tcPr>
          <w:p/>
        </w:tc>
        <w:tc>
          <w:tcPr>
            <w:tcW w:type="dxa" w:w="415"/>
          </w:tcPr>
          <w:p>
            <w:pPr>
              <w:pStyle w:val="null3"/>
            </w:pPr>
            <w:r>
              <w:rPr/>
              <w:t>9</w:t>
            </w:r>
          </w:p>
        </w:tc>
        <w:tc>
          <w:tcPr>
            <w:tcW w:type="dxa" w:w="5814"/>
          </w:tcPr>
          <w:p>
            <w:pPr>
              <w:pStyle w:val="null3"/>
            </w:pPr>
            <w:r>
              <w:rPr/>
              <w:t>3)导入状态有三种：导入完成，数据存在异常；导入完成，并审核；导入完成，待审核，审核状态分为三种：待审核；通过；不通过。</w:t>
            </w:r>
          </w:p>
        </w:tc>
      </w:tr>
      <w:tr>
        <w:tc>
          <w:tcPr>
            <w:tcW w:type="dxa" w:w="2076"/>
          </w:tcPr>
          <w:p/>
        </w:tc>
        <w:tc>
          <w:tcPr>
            <w:tcW w:type="dxa" w:w="415"/>
          </w:tcPr>
          <w:p>
            <w:pPr>
              <w:pStyle w:val="null3"/>
            </w:pPr>
            <w:r>
              <w:rPr/>
              <w:t>10</w:t>
            </w:r>
          </w:p>
        </w:tc>
        <w:tc>
          <w:tcPr>
            <w:tcW w:type="dxa" w:w="5814"/>
          </w:tcPr>
          <w:p>
            <w:pPr>
              <w:pStyle w:val="null3"/>
            </w:pPr>
            <w:r>
              <w:rPr/>
              <w:t>4)支持当数据无异常或检验通过后，才状态会改为导入完成，待审核，此时可以对该导入任务进行审核，审核通过后，状态变更为导入完成，并审核，数据即更新至平台标准管理页。同时审核后的数据可以查看审核意见。</w:t>
            </w:r>
          </w:p>
        </w:tc>
      </w:tr>
      <w:tr>
        <w:tc>
          <w:tcPr>
            <w:tcW w:type="dxa" w:w="2076"/>
          </w:tcPr>
          <w:p/>
        </w:tc>
        <w:tc>
          <w:tcPr>
            <w:tcW w:type="dxa" w:w="415"/>
          </w:tcPr>
          <w:p>
            <w:pPr>
              <w:pStyle w:val="null3"/>
            </w:pPr>
            <w:r>
              <w:rPr/>
              <w:t>11</w:t>
            </w:r>
          </w:p>
        </w:tc>
        <w:tc>
          <w:tcPr>
            <w:tcW w:type="dxa" w:w="5814"/>
          </w:tcPr>
          <w:p>
            <w:pPr>
              <w:pStyle w:val="null3"/>
            </w:pPr>
            <w:r>
              <w:rPr/>
              <w:t>3.标准检测</w:t>
            </w:r>
          </w:p>
          <w:p>
            <w:pPr>
              <w:pStyle w:val="null3"/>
            </w:pPr>
            <w:r>
              <w:rPr/>
              <w:t>1)实现对标准进行自检。要求对信息标准进行必要的合法性校验外，比如非空、唯一、一致性、主键规则等。用户还可以根据具体需求自定义一些规则对信息标准进行额外的校验。校验完成后汇总校验结果形成异常报告，并提供便捷的信息标准规范手段。</w:t>
            </w:r>
            <w:r>
              <w:rPr>
                <w:b/>
              </w:rPr>
              <w:t>（提供现场演示）</w:t>
            </w:r>
          </w:p>
        </w:tc>
      </w:tr>
      <w:tr>
        <w:tc>
          <w:tcPr>
            <w:tcW w:type="dxa" w:w="2076"/>
          </w:tcPr>
          <w:p/>
        </w:tc>
        <w:tc>
          <w:tcPr>
            <w:tcW w:type="dxa" w:w="415"/>
          </w:tcPr>
          <w:p>
            <w:pPr>
              <w:pStyle w:val="null3"/>
            </w:pPr>
            <w:r>
              <w:rPr/>
              <w:t>12</w:t>
            </w:r>
          </w:p>
        </w:tc>
        <w:tc>
          <w:tcPr>
            <w:tcW w:type="dxa" w:w="5814"/>
          </w:tcPr>
          <w:p>
            <w:pPr>
              <w:pStyle w:val="null3"/>
            </w:pPr>
            <w:r>
              <w:rPr/>
              <w:t>2)支持新增自定义规则，每一个规则都有一个专属的编号用以识别，与判断是否一致的条件，实现标准的自检。</w:t>
            </w:r>
          </w:p>
        </w:tc>
      </w:tr>
      <w:tr>
        <w:tc>
          <w:tcPr>
            <w:tcW w:type="dxa" w:w="2076"/>
          </w:tcPr>
          <w:p/>
        </w:tc>
        <w:tc>
          <w:tcPr>
            <w:tcW w:type="dxa" w:w="415"/>
          </w:tcPr>
          <w:p>
            <w:pPr>
              <w:pStyle w:val="null3"/>
            </w:pPr>
            <w:r>
              <w:rPr/>
              <w:t>13</w:t>
            </w:r>
          </w:p>
        </w:tc>
        <w:tc>
          <w:tcPr>
            <w:tcW w:type="dxa" w:w="5814"/>
          </w:tcPr>
          <w:p>
            <w:pPr>
              <w:pStyle w:val="null3"/>
            </w:pPr>
            <w:r>
              <w:rPr/>
              <w:t>3)支持根据配置的检测规则，检测后，点击异常修改，可以直接对检测中的异常内容进行修改，点击编辑该字段或者数据表的信息，修改后的内容会标注为已处理。</w:t>
            </w:r>
          </w:p>
        </w:tc>
      </w:tr>
      <w:tr>
        <w:tc>
          <w:tcPr>
            <w:tcW w:type="dxa" w:w="2076"/>
          </w:tcPr>
          <w:p/>
        </w:tc>
        <w:tc>
          <w:tcPr>
            <w:tcW w:type="dxa" w:w="415"/>
          </w:tcPr>
          <w:p>
            <w:pPr>
              <w:pStyle w:val="null3"/>
            </w:pPr>
            <w:r>
              <w:rPr/>
              <w:t>14</w:t>
            </w:r>
          </w:p>
        </w:tc>
        <w:tc>
          <w:tcPr>
            <w:tcW w:type="dxa" w:w="5814"/>
          </w:tcPr>
          <w:p>
            <w:pPr>
              <w:pStyle w:val="null3"/>
            </w:pPr>
            <w:r>
              <w:rPr/>
              <w:t>4)支持在标准自检报告中看见具体的异常情况，包括业务域总表数，业务域总字段，总字典数，规则字段数。</w:t>
            </w:r>
          </w:p>
        </w:tc>
      </w:tr>
      <w:tr>
        <w:tc>
          <w:tcPr>
            <w:tcW w:type="dxa" w:w="2076"/>
          </w:tcPr>
          <w:p/>
        </w:tc>
        <w:tc>
          <w:tcPr>
            <w:tcW w:type="dxa" w:w="415"/>
          </w:tcPr>
          <w:p>
            <w:pPr>
              <w:pStyle w:val="null3"/>
            </w:pPr>
            <w:r>
              <w:rPr/>
              <w:t>15</w:t>
            </w:r>
          </w:p>
        </w:tc>
        <w:tc>
          <w:tcPr>
            <w:tcW w:type="dxa" w:w="5814"/>
          </w:tcPr>
          <w:p>
            <w:pPr>
              <w:pStyle w:val="null3"/>
            </w:pPr>
            <w:r>
              <w:rPr/>
              <w:t>4.版本管理</w:t>
            </w:r>
          </w:p>
          <w:p>
            <w:pPr>
              <w:pStyle w:val="null3"/>
            </w:pPr>
            <w:r>
              <w:rPr/>
              <w:t>1)支持在版本管理首页展示当前的版本信息标准数据收录量，并可分各个业务域的统计数据量，以及统计来源于各个部门的字段管理属性。同时对于新增、修改、删除的标准数据，要求包括业务域数据和代码数据，只有发布版本并审核通过后，才能被引用于各个业务数据源。</w:t>
            </w:r>
          </w:p>
        </w:tc>
      </w:tr>
      <w:tr>
        <w:tc>
          <w:tcPr>
            <w:tcW w:type="dxa" w:w="2076"/>
          </w:tcPr>
          <w:p/>
        </w:tc>
        <w:tc>
          <w:tcPr>
            <w:tcW w:type="dxa" w:w="415"/>
          </w:tcPr>
          <w:p>
            <w:pPr>
              <w:pStyle w:val="null3"/>
            </w:pPr>
            <w:r>
              <w:rPr/>
              <w:t>16</w:t>
            </w:r>
          </w:p>
        </w:tc>
        <w:tc>
          <w:tcPr>
            <w:tcW w:type="dxa" w:w="5814"/>
          </w:tcPr>
          <w:p>
            <w:pPr>
              <w:pStyle w:val="null3"/>
            </w:pPr>
            <w:r>
              <w:rPr/>
              <w:t>2)支持在浏览器打开该版本的信息标准白皮书pdf文档，实现版本预览。</w:t>
            </w:r>
          </w:p>
        </w:tc>
      </w:tr>
      <w:tr>
        <w:tc>
          <w:tcPr>
            <w:tcW w:type="dxa" w:w="2076"/>
          </w:tcPr>
          <w:p/>
        </w:tc>
        <w:tc>
          <w:tcPr>
            <w:tcW w:type="dxa" w:w="415"/>
          </w:tcPr>
          <w:p>
            <w:pPr>
              <w:pStyle w:val="null3"/>
            </w:pPr>
            <w:r>
              <w:rPr/>
              <w:t>17</w:t>
            </w:r>
          </w:p>
        </w:tc>
        <w:tc>
          <w:tcPr>
            <w:tcW w:type="dxa" w:w="5814"/>
          </w:tcPr>
          <w:p>
            <w:pPr>
              <w:pStyle w:val="null3"/>
            </w:pPr>
            <w:r>
              <w:rPr/>
              <w:t>3)支持查询系统中已经发布的版本信息，了解版本历程。</w:t>
            </w:r>
          </w:p>
        </w:tc>
      </w:tr>
      <w:tr>
        <w:tc>
          <w:tcPr>
            <w:tcW w:type="dxa" w:w="2076"/>
          </w:tcPr>
          <w:p/>
        </w:tc>
        <w:tc>
          <w:tcPr>
            <w:tcW w:type="dxa" w:w="415"/>
          </w:tcPr>
          <w:p>
            <w:pPr>
              <w:pStyle w:val="null3"/>
            </w:pPr>
            <w:r>
              <w:rPr/>
              <w:t>18</w:t>
            </w:r>
          </w:p>
        </w:tc>
        <w:tc>
          <w:tcPr>
            <w:tcW w:type="dxa" w:w="5814"/>
          </w:tcPr>
          <w:p>
            <w:pPr>
              <w:pStyle w:val="null3"/>
            </w:pPr>
            <w:r>
              <w:rPr/>
              <w:t>4)支持版本审核服务。用户能够审核发布版本是否通过，若审核通过，该版本会成为信息标准最新版本，标准网站，系统建模将使用最新版本的标准数据。</w:t>
            </w:r>
          </w:p>
        </w:tc>
      </w:tr>
      <w:tr>
        <w:tc>
          <w:tcPr>
            <w:tcW w:type="dxa" w:w="2076"/>
          </w:tcPr>
          <w:p/>
        </w:tc>
        <w:tc>
          <w:tcPr>
            <w:tcW w:type="dxa" w:w="415"/>
          </w:tcPr>
          <w:p>
            <w:pPr>
              <w:pStyle w:val="null3"/>
            </w:pPr>
            <w:r>
              <w:rPr/>
              <w:t>19</w:t>
            </w:r>
          </w:p>
        </w:tc>
        <w:tc>
          <w:tcPr>
            <w:tcW w:type="dxa" w:w="5814"/>
          </w:tcPr>
          <w:p>
            <w:pPr>
              <w:pStyle w:val="null3"/>
            </w:pPr>
            <w:r>
              <w:rPr/>
              <w:t>5)支持版本发布。准与生效版本的信息标准之间的差异，告知用户对信息标准做了哪些操作。</w:t>
            </w:r>
          </w:p>
        </w:tc>
      </w:tr>
      <w:tr>
        <w:tc>
          <w:tcPr>
            <w:tcW w:type="dxa" w:w="2076"/>
          </w:tcPr>
          <w:p/>
        </w:tc>
        <w:tc>
          <w:tcPr>
            <w:tcW w:type="dxa" w:w="415"/>
          </w:tcPr>
          <w:p>
            <w:pPr>
              <w:pStyle w:val="null3"/>
            </w:pPr>
            <w:r>
              <w:rPr/>
              <w:t>20</w:t>
            </w:r>
          </w:p>
        </w:tc>
        <w:tc>
          <w:tcPr>
            <w:tcW w:type="dxa" w:w="5814"/>
          </w:tcPr>
          <w:p>
            <w:pPr>
              <w:pStyle w:val="null3"/>
            </w:pPr>
            <w:r>
              <w:rPr/>
              <w:t>6)支持版本导出。分为“全量导出”和“自定义导出”两种方式，支持导出word、pdf、excel三种格式的文档。全量导出会导出该版本全部的信息标准数据，自定义导出会根据选择的部门，筛选出相关的信息标准数据。</w:t>
            </w:r>
          </w:p>
        </w:tc>
      </w:tr>
      <w:tr>
        <w:tc>
          <w:tcPr>
            <w:tcW w:type="dxa" w:w="2076"/>
          </w:tcPr>
          <w:p/>
        </w:tc>
        <w:tc>
          <w:tcPr>
            <w:tcW w:type="dxa" w:w="415"/>
          </w:tcPr>
          <w:p>
            <w:pPr>
              <w:pStyle w:val="null3"/>
            </w:pPr>
            <w:r>
              <w:rPr/>
              <w:t>21</w:t>
            </w:r>
          </w:p>
        </w:tc>
        <w:tc>
          <w:tcPr>
            <w:tcW w:type="dxa" w:w="5814"/>
          </w:tcPr>
          <w:p>
            <w:pPr>
              <w:pStyle w:val="null3"/>
            </w:pPr>
            <w:r>
              <w:rPr/>
              <w:t>7)支持版本对比。要求版本对比报告展示两个版本的信息标准数据量，小版本到大版本的数据变化量和字段、代码的具体变更情况。系统后台只能同时进行一个文档导出任务，如果已存在导出任务，会有提示信息</w:t>
            </w:r>
            <w:r>
              <w:rPr>
                <w:b/>
              </w:rPr>
              <w:t>。（提供现场演示）</w:t>
            </w:r>
          </w:p>
        </w:tc>
      </w:tr>
      <w:tr>
        <w:tc>
          <w:tcPr>
            <w:tcW w:type="dxa" w:w="2076"/>
          </w:tcPr>
          <w:p/>
        </w:tc>
        <w:tc>
          <w:tcPr>
            <w:tcW w:type="dxa" w:w="415"/>
          </w:tcPr>
          <w:p>
            <w:pPr>
              <w:pStyle w:val="null3"/>
            </w:pPr>
            <w:r>
              <w:rPr/>
              <w:t>22</w:t>
            </w:r>
          </w:p>
        </w:tc>
        <w:tc>
          <w:tcPr>
            <w:tcW w:type="dxa" w:w="5814"/>
          </w:tcPr>
          <w:p>
            <w:pPr>
              <w:pStyle w:val="null3"/>
            </w:pPr>
            <w:r>
              <w:rPr/>
              <w:t>8)支持版本回退。信息标准数据会恢复到该回退版本发布时的状态，也就是说该回退版本之后的信息标准数据会清除掉。</w:t>
            </w:r>
          </w:p>
        </w:tc>
      </w:tr>
      <w:tr>
        <w:tc>
          <w:tcPr>
            <w:tcW w:type="dxa" w:w="2076"/>
          </w:tcPr>
          <w:p/>
        </w:tc>
        <w:tc>
          <w:tcPr>
            <w:tcW w:type="dxa" w:w="415"/>
          </w:tcPr>
          <w:p>
            <w:pPr>
              <w:pStyle w:val="null3"/>
            </w:pPr>
            <w:r>
              <w:rPr/>
              <w:t>23</w:t>
            </w:r>
          </w:p>
        </w:tc>
        <w:tc>
          <w:tcPr>
            <w:tcW w:type="dxa" w:w="5814"/>
          </w:tcPr>
          <w:p>
            <w:pPr>
              <w:pStyle w:val="null3"/>
            </w:pPr>
            <w:r>
              <w:rPr/>
              <w:t>5.参考标准</w:t>
            </w:r>
          </w:p>
          <w:p>
            <w:pPr>
              <w:pStyle w:val="null3"/>
            </w:pPr>
            <w:r>
              <w:rPr/>
              <w:t>1)支持提供参考标准。参考标准为信息标准提供一个规范的、面向教育行业的国家层面上的信息化标准模板，当前参考标准的数据主要来源于中华人民共和国教育行业标准（2012年版）。</w:t>
            </w:r>
          </w:p>
        </w:tc>
      </w:tr>
      <w:tr>
        <w:tc>
          <w:tcPr>
            <w:tcW w:type="dxa" w:w="2076"/>
          </w:tcPr>
          <w:p/>
        </w:tc>
        <w:tc>
          <w:tcPr>
            <w:tcW w:type="dxa" w:w="415"/>
          </w:tcPr>
          <w:p>
            <w:pPr>
              <w:pStyle w:val="null3"/>
            </w:pPr>
            <w:r>
              <w:rPr/>
              <w:t>24</w:t>
            </w:r>
          </w:p>
        </w:tc>
        <w:tc>
          <w:tcPr>
            <w:tcW w:type="dxa" w:w="5814"/>
          </w:tcPr>
          <w:p>
            <w:pPr>
              <w:pStyle w:val="null3"/>
            </w:pPr>
            <w:r>
              <w:rPr/>
              <w:t>2)要求该模块为用户提供维护参考标准的可视化界面接口以应对行业标准发生变更或各大高校需要在国家标准的基础上建立适应自身的特色标准，包括导入、新增、修改、删除等功能。</w:t>
            </w:r>
          </w:p>
        </w:tc>
      </w:tr>
      <w:tr>
        <w:tc>
          <w:tcPr>
            <w:tcW w:type="dxa" w:w="2076"/>
          </w:tcPr>
          <w:p>
            <w:pPr>
              <w:pStyle w:val="null3"/>
            </w:pPr>
            <w:r>
              <w:rPr/>
              <w:t>说明</w:t>
            </w:r>
          </w:p>
        </w:tc>
        <w:tc>
          <w:tcPr>
            <w:tcW w:type="dxa" w:w="6229"/>
            <w:gridSpan w:val="2"/>
          </w:tcPr>
          <w:p>
            <w:pPr>
              <w:pStyle w:val="null3"/>
              <w:jc w:val="left"/>
            </w:pPr>
            <w:r>
              <w:rPr/>
              <w:t xml:space="preserve"> 打“★”号条款为实质性条款，若有任何一条负偏离或不满足则导致投标无效。 </w:t>
            </w:r>
            <w:r>
              <w:br/>
            </w:r>
            <w:r>
              <w:rPr/>
              <w:t>打“▲”号条款为重要技术参数，若有部分“▲”条款未响应或不满足，不作为无效投标条款。</w:t>
            </w:r>
          </w:p>
        </w:tc>
      </w:tr>
    </w:tbl>
    <w:p>
      <w:pPr>
        <w:pStyle w:val="null3"/>
      </w:pPr>
      <w:r>
        <w:rPr>
          <w:b/>
        </w:rPr>
        <w:t>附表</w:t>
      </w:r>
      <w:r>
        <w:rPr>
          <w:b/>
        </w:rPr>
        <w:t>三</w:t>
      </w:r>
      <w:r>
        <w:rPr>
          <w:b/>
        </w:rPr>
        <w:t>：</w:t>
      </w:r>
      <w:r>
        <w:rPr>
          <w:b/>
        </w:rPr>
        <w:t>数据建模</w:t>
      </w:r>
    </w:p>
    <w:tbl>
      <w:tblPr>
        <w:tblW w:w="0" w:type="auto"/>
        <w:tblBorders>
          <w:top w:val="single"/>
          <w:left w:val="single"/>
          <w:bottom w:val="single"/>
          <w:right w:val="single"/>
          <w:insideH w:val="single"/>
          <w:insideV w:val="single"/>
        </w:tblBorders>
      </w:tblPr>
      <w:tblGrid>
        <w:gridCol w:w="2076"/>
        <w:gridCol w:w="415"/>
        <w:gridCol w:w="5814"/>
      </w:tblGrid>
      <w:tr>
        <w:tc>
          <w:tcPr>
            <w:tcW w:type="dxa" w:w="2076"/>
          </w:tcPr>
          <w:p>
            <w:pPr>
              <w:pStyle w:val="null3"/>
            </w:pPr>
            <w:r>
              <w:rPr/>
              <w:t>参数性质</w:t>
            </w:r>
          </w:p>
        </w:tc>
        <w:tc>
          <w:tcPr>
            <w:tcW w:type="dxa" w:w="415"/>
          </w:tcPr>
          <w:p>
            <w:pPr>
              <w:pStyle w:val="null3"/>
            </w:pPr>
            <w:r>
              <w:rPr/>
              <w:t>序号</w:t>
            </w:r>
          </w:p>
        </w:tc>
        <w:tc>
          <w:tcPr>
            <w:tcW w:type="dxa" w:w="5814"/>
          </w:tcPr>
          <w:p>
            <w:pPr>
              <w:pStyle w:val="null3"/>
            </w:pPr>
            <w:r>
              <w:rPr/>
              <w:t>具体技术(参数)要求</w:t>
            </w:r>
          </w:p>
        </w:tc>
      </w:tr>
      <w:tr>
        <w:tc>
          <w:tcPr>
            <w:tcW w:type="dxa" w:w="2076"/>
          </w:tcPr>
          <w:p/>
        </w:tc>
        <w:tc>
          <w:tcPr>
            <w:tcW w:type="dxa" w:w="415"/>
          </w:tcPr>
          <w:p>
            <w:pPr>
              <w:pStyle w:val="null3"/>
            </w:pPr>
            <w:r>
              <w:rPr/>
              <w:t>1</w:t>
            </w:r>
          </w:p>
        </w:tc>
        <w:tc>
          <w:tcPr>
            <w:tcW w:type="dxa" w:w="5814"/>
          </w:tcPr>
          <w:p>
            <w:pPr>
              <w:pStyle w:val="null3"/>
            </w:pPr>
            <w:r>
              <w:rPr/>
              <w:t>1.建模报告 支持查看数据模型的基本统计情况。包括数仓分层、主题分类、模型总数，近30天发布的模型数，维表数和事实表数，新增修改模型数，以及近一年的建模趋势等。</w:t>
            </w:r>
            <w:r>
              <w:rPr>
                <w:b/>
              </w:rPr>
              <w:t>【要求提供系统截图，并能说明上述参数、功能或材料，并加盖投标人公章】</w:t>
            </w:r>
          </w:p>
        </w:tc>
      </w:tr>
      <w:tr>
        <w:tc>
          <w:tcPr>
            <w:tcW w:type="dxa" w:w="2076"/>
          </w:tcPr>
          <w:p/>
        </w:tc>
        <w:tc>
          <w:tcPr>
            <w:tcW w:type="dxa" w:w="415"/>
          </w:tcPr>
          <w:p>
            <w:pPr>
              <w:pStyle w:val="null3"/>
            </w:pPr>
            <w:r>
              <w:rPr/>
              <w:t>2</w:t>
            </w:r>
          </w:p>
        </w:tc>
        <w:tc>
          <w:tcPr>
            <w:tcW w:type="dxa" w:w="5814"/>
          </w:tcPr>
          <w:p>
            <w:pPr>
              <w:pStyle w:val="null3"/>
            </w:pPr>
            <w:r>
              <w:rPr/>
              <w:t>2.数仓分层 将数仓架构分为公共维表，数据仓库，数据集市三层。支持新增、删除、重命名每一层的一级主题，并查看与查询每个主题下的模型表。</w:t>
            </w:r>
          </w:p>
        </w:tc>
      </w:tr>
      <w:tr>
        <w:tc>
          <w:tcPr>
            <w:tcW w:type="dxa" w:w="2076"/>
          </w:tcPr>
          <w:p/>
        </w:tc>
        <w:tc>
          <w:tcPr>
            <w:tcW w:type="dxa" w:w="415"/>
          </w:tcPr>
          <w:p>
            <w:pPr>
              <w:pStyle w:val="null3"/>
            </w:pPr>
            <w:r>
              <w:rPr/>
              <w:t>3</w:t>
            </w:r>
          </w:p>
        </w:tc>
        <w:tc>
          <w:tcPr>
            <w:tcW w:type="dxa" w:w="5814"/>
          </w:tcPr>
          <w:p>
            <w:pPr>
              <w:pStyle w:val="null3"/>
            </w:pPr>
            <w:r>
              <w:rPr/>
              <w:t>3.数据建模</w:t>
            </w:r>
          </w:p>
          <w:p>
            <w:pPr>
              <w:pStyle w:val="null3"/>
            </w:pPr>
            <w:r>
              <w:rPr/>
              <w:t>1)支持新增、删除、编辑每个数据分层下面的二级及下级主题。</w:t>
            </w:r>
          </w:p>
        </w:tc>
      </w:tr>
      <w:tr>
        <w:tc>
          <w:tcPr>
            <w:tcW w:type="dxa" w:w="2076"/>
          </w:tcPr>
          <w:p/>
        </w:tc>
        <w:tc>
          <w:tcPr>
            <w:tcW w:type="dxa" w:w="415"/>
          </w:tcPr>
          <w:p>
            <w:pPr>
              <w:pStyle w:val="null3"/>
            </w:pPr>
            <w:r>
              <w:rPr/>
              <w:t>4</w:t>
            </w:r>
          </w:p>
        </w:tc>
        <w:tc>
          <w:tcPr>
            <w:tcW w:type="dxa" w:w="5814"/>
          </w:tcPr>
          <w:p>
            <w:pPr>
              <w:pStyle w:val="null3"/>
            </w:pPr>
            <w:r>
              <w:rPr/>
              <w:t>2)支持在每个主题下新建、编辑、删除、移动、发布模型表，支持查看物理化后的数据，查看模型间版本对比。</w:t>
            </w:r>
          </w:p>
        </w:tc>
      </w:tr>
      <w:tr>
        <w:tc>
          <w:tcPr>
            <w:tcW w:type="dxa" w:w="2076"/>
          </w:tcPr>
          <w:p/>
        </w:tc>
        <w:tc>
          <w:tcPr>
            <w:tcW w:type="dxa" w:w="415"/>
          </w:tcPr>
          <w:p>
            <w:pPr>
              <w:pStyle w:val="null3"/>
            </w:pPr>
            <w:r>
              <w:rPr/>
              <w:t>5</w:t>
            </w:r>
          </w:p>
        </w:tc>
        <w:tc>
          <w:tcPr>
            <w:tcW w:type="dxa" w:w="5814"/>
          </w:tcPr>
          <w:p>
            <w:pPr>
              <w:pStyle w:val="null3"/>
            </w:pPr>
            <w:r>
              <w:rPr/>
              <w:t>3)支持通过数据库引用的方式新建公共维表，支持通过引用标准新建数据仓库的模型，支持通过数据库引用、SQL、自定义的方式新建数据集市的模型。</w:t>
            </w:r>
          </w:p>
        </w:tc>
      </w:tr>
      <w:tr>
        <w:tc>
          <w:tcPr>
            <w:tcW w:type="dxa" w:w="2076"/>
          </w:tcPr>
          <w:p/>
        </w:tc>
        <w:tc>
          <w:tcPr>
            <w:tcW w:type="dxa" w:w="415"/>
          </w:tcPr>
          <w:p>
            <w:pPr>
              <w:pStyle w:val="null3"/>
            </w:pPr>
            <w:r>
              <w:rPr/>
              <w:t>6</w:t>
            </w:r>
          </w:p>
        </w:tc>
        <w:tc>
          <w:tcPr>
            <w:tcW w:type="dxa" w:w="5814"/>
          </w:tcPr>
          <w:p>
            <w:pPr>
              <w:pStyle w:val="null3"/>
            </w:pPr>
            <w:r>
              <w:rPr/>
              <w:t>4)支持勾选建好的模型表进行核验，核验数据库中的表结构与建模的表结构是否一致，不一致的可以修改，可以查看建表脚本。</w:t>
            </w:r>
            <w:r>
              <w:rPr>
                <w:b/>
              </w:rPr>
              <w:t>（提供现场演示）</w:t>
            </w:r>
          </w:p>
        </w:tc>
      </w:tr>
      <w:tr>
        <w:tc>
          <w:tcPr>
            <w:tcW w:type="dxa" w:w="2076"/>
          </w:tcPr>
          <w:p>
            <w:pPr>
              <w:pStyle w:val="null3"/>
            </w:pPr>
            <w:r>
              <w:rPr/>
              <w:t>说明</w:t>
            </w:r>
          </w:p>
        </w:tc>
        <w:tc>
          <w:tcPr>
            <w:tcW w:type="dxa" w:w="6229"/>
            <w:gridSpan w:val="2"/>
          </w:tcPr>
          <w:p>
            <w:pPr>
              <w:pStyle w:val="null3"/>
              <w:jc w:val="left"/>
            </w:pPr>
            <w:r>
              <w:rPr/>
              <w:t xml:space="preserve"> 打“★”号条款为实质性条款，若有任何一条负偏离或不满足则导致投标无效。 </w:t>
            </w:r>
            <w:r>
              <w:br/>
            </w:r>
            <w:r>
              <w:rPr/>
              <w:t>打“▲”号条款为重要技术参数，若有部分“▲”条款未响应或不满足，不作为无效投标条款。</w:t>
            </w:r>
          </w:p>
        </w:tc>
      </w:tr>
    </w:tbl>
    <w:p>
      <w:pPr>
        <w:pStyle w:val="null3"/>
      </w:pPr>
      <w:r>
        <w:rPr>
          <w:b/>
        </w:rPr>
        <w:t>附表</w:t>
      </w:r>
      <w:r>
        <w:rPr>
          <w:b/>
        </w:rPr>
        <w:t>四</w:t>
      </w:r>
      <w:r>
        <w:rPr>
          <w:b/>
        </w:rPr>
        <w:t>：</w:t>
      </w:r>
      <w:r>
        <w:rPr>
          <w:b/>
        </w:rPr>
        <w:t>数据中心</w:t>
      </w:r>
    </w:p>
    <w:tbl>
      <w:tblPr>
        <w:tblW w:w="0" w:type="auto"/>
        <w:tblBorders>
          <w:top w:val="single"/>
          <w:left w:val="single"/>
          <w:bottom w:val="single"/>
          <w:right w:val="single"/>
          <w:insideH w:val="single"/>
          <w:insideV w:val="single"/>
        </w:tblBorders>
      </w:tblPr>
      <w:tblGrid>
        <w:gridCol w:w="2076"/>
        <w:gridCol w:w="415"/>
        <w:gridCol w:w="5814"/>
      </w:tblGrid>
      <w:tr>
        <w:tc>
          <w:tcPr>
            <w:tcW w:type="dxa" w:w="2076"/>
          </w:tcPr>
          <w:p>
            <w:pPr>
              <w:pStyle w:val="null3"/>
            </w:pPr>
            <w:r>
              <w:rPr/>
              <w:t>参数性质</w:t>
            </w:r>
          </w:p>
        </w:tc>
        <w:tc>
          <w:tcPr>
            <w:tcW w:type="dxa" w:w="415"/>
          </w:tcPr>
          <w:p>
            <w:pPr>
              <w:pStyle w:val="null3"/>
            </w:pPr>
            <w:r>
              <w:rPr/>
              <w:t>序号</w:t>
            </w:r>
          </w:p>
        </w:tc>
        <w:tc>
          <w:tcPr>
            <w:tcW w:type="dxa" w:w="5814"/>
          </w:tcPr>
          <w:p>
            <w:pPr>
              <w:pStyle w:val="null3"/>
            </w:pPr>
            <w:r>
              <w:rPr/>
              <w:t>具体技术(参数)要求</w:t>
            </w:r>
          </w:p>
        </w:tc>
      </w:tr>
      <w:tr>
        <w:tc>
          <w:tcPr>
            <w:tcW w:type="dxa" w:w="2076"/>
          </w:tcPr>
          <w:p/>
        </w:tc>
        <w:tc>
          <w:tcPr>
            <w:tcW w:type="dxa" w:w="415"/>
          </w:tcPr>
          <w:p>
            <w:pPr>
              <w:pStyle w:val="null3"/>
            </w:pPr>
            <w:r>
              <w:rPr/>
              <w:t>1</w:t>
            </w:r>
          </w:p>
        </w:tc>
        <w:tc>
          <w:tcPr>
            <w:tcW w:type="dxa" w:w="5814"/>
          </w:tcPr>
          <w:p>
            <w:pPr>
              <w:pStyle w:val="null3"/>
            </w:pPr>
            <w:r>
              <w:rPr/>
              <w:t>1.数据报告</w:t>
            </w:r>
          </w:p>
          <w:p>
            <w:pPr>
              <w:pStyle w:val="null3"/>
            </w:pPr>
            <w:r>
              <w:rPr/>
              <w:t>支持查看数据湖、数据仓库、数据集市三层数据的统计信息。包括业务系统数、业务部门数、厂商数、表入湖率、数据表数、数据项数、数据量、容量等指标。</w:t>
            </w:r>
            <w:r>
              <w:rPr>
                <w:b/>
              </w:rPr>
              <w:t>（提供现场演示）</w:t>
            </w:r>
          </w:p>
        </w:tc>
      </w:tr>
      <w:tr>
        <w:tc>
          <w:tcPr>
            <w:tcW w:type="dxa" w:w="2076"/>
          </w:tcPr>
          <w:p/>
        </w:tc>
        <w:tc>
          <w:tcPr>
            <w:tcW w:type="dxa" w:w="415"/>
          </w:tcPr>
          <w:p>
            <w:pPr>
              <w:pStyle w:val="null3"/>
            </w:pPr>
            <w:r>
              <w:rPr/>
              <w:t>2</w:t>
            </w:r>
          </w:p>
        </w:tc>
        <w:tc>
          <w:tcPr>
            <w:tcW w:type="dxa" w:w="5814"/>
          </w:tcPr>
          <w:p>
            <w:pPr>
              <w:pStyle w:val="null3"/>
            </w:pPr>
            <w:r>
              <w:rPr/>
              <w:t>2.数据湖</w:t>
            </w:r>
          </w:p>
          <w:p>
            <w:pPr>
              <w:pStyle w:val="null3"/>
            </w:pPr>
            <w:r>
              <w:rPr/>
              <w:t>1)支持以卡片与列表两种方式查看数据湖中表的数据与元数据。</w:t>
            </w:r>
          </w:p>
        </w:tc>
      </w:tr>
      <w:tr>
        <w:tc>
          <w:tcPr>
            <w:tcW w:type="dxa" w:w="2076"/>
          </w:tcPr>
          <w:p/>
        </w:tc>
        <w:tc>
          <w:tcPr>
            <w:tcW w:type="dxa" w:w="415"/>
          </w:tcPr>
          <w:p>
            <w:pPr>
              <w:pStyle w:val="null3"/>
            </w:pPr>
            <w:r>
              <w:rPr/>
              <w:t>3</w:t>
            </w:r>
          </w:p>
        </w:tc>
        <w:tc>
          <w:tcPr>
            <w:tcW w:type="dxa" w:w="5814"/>
          </w:tcPr>
          <w:p>
            <w:pPr>
              <w:pStyle w:val="null3"/>
            </w:pPr>
            <w:r>
              <w:rPr/>
              <w:t>2)支持结合加密、脱敏、数据安全等级等手段，将用户访问数据的权限控制在字段级别。如果字段数据安全等级高于用户安全等级，则该用户无法查看该字段。如果字段对该用户脱敏，则看到的脱敏后的数据。</w:t>
            </w:r>
          </w:p>
        </w:tc>
      </w:tr>
      <w:tr>
        <w:tc>
          <w:tcPr>
            <w:tcW w:type="dxa" w:w="2076"/>
          </w:tcPr>
          <w:p/>
        </w:tc>
        <w:tc>
          <w:tcPr>
            <w:tcW w:type="dxa" w:w="415"/>
          </w:tcPr>
          <w:p>
            <w:pPr>
              <w:pStyle w:val="null3"/>
            </w:pPr>
            <w:r>
              <w:rPr/>
              <w:t>4</w:t>
            </w:r>
          </w:p>
        </w:tc>
        <w:tc>
          <w:tcPr>
            <w:tcW w:type="dxa" w:w="5814"/>
          </w:tcPr>
          <w:p>
            <w:pPr>
              <w:pStyle w:val="null3"/>
            </w:pPr>
            <w:r>
              <w:rPr/>
              <w:t>3)支持在数据湖中查看文件数据，支持上传、下载、重命名、删除文件等操作。</w:t>
            </w:r>
          </w:p>
        </w:tc>
      </w:tr>
      <w:tr>
        <w:tc>
          <w:tcPr>
            <w:tcW w:type="dxa" w:w="2076"/>
          </w:tcPr>
          <w:p/>
        </w:tc>
        <w:tc>
          <w:tcPr>
            <w:tcW w:type="dxa" w:w="415"/>
          </w:tcPr>
          <w:p>
            <w:pPr>
              <w:pStyle w:val="null3"/>
            </w:pPr>
            <w:r>
              <w:rPr/>
              <w:t>5</w:t>
            </w:r>
          </w:p>
        </w:tc>
        <w:tc>
          <w:tcPr>
            <w:tcW w:type="dxa" w:w="5814"/>
          </w:tcPr>
          <w:p>
            <w:pPr>
              <w:pStyle w:val="null3"/>
            </w:pPr>
            <w:r>
              <w:rPr/>
              <w:t>4)支持自定义导出数据，拖拽式配置字段的显示与否与展现顺序。</w:t>
            </w:r>
          </w:p>
        </w:tc>
      </w:tr>
      <w:tr>
        <w:tc>
          <w:tcPr>
            <w:tcW w:type="dxa" w:w="2076"/>
          </w:tcPr>
          <w:p/>
        </w:tc>
        <w:tc>
          <w:tcPr>
            <w:tcW w:type="dxa" w:w="415"/>
          </w:tcPr>
          <w:p>
            <w:pPr>
              <w:pStyle w:val="null3"/>
            </w:pPr>
            <w:r>
              <w:rPr/>
              <w:t>6</w:t>
            </w:r>
          </w:p>
        </w:tc>
        <w:tc>
          <w:tcPr>
            <w:tcW w:type="dxa" w:w="5814"/>
          </w:tcPr>
          <w:p>
            <w:pPr>
              <w:pStyle w:val="null3"/>
            </w:pPr>
            <w:r>
              <w:rPr/>
              <w:t>3.数据仓库</w:t>
            </w:r>
          </w:p>
          <w:p>
            <w:pPr>
              <w:pStyle w:val="null3"/>
            </w:pPr>
            <w:r>
              <w:rPr/>
              <w:t>1)支持以卡片与列表两种方式查看数据仓库事实表的数据与元数据；维表的数据、元数据。如果生成了历史拉链表的，可以查看并查询历史数据。</w:t>
            </w:r>
          </w:p>
        </w:tc>
      </w:tr>
      <w:tr>
        <w:tc>
          <w:tcPr>
            <w:tcW w:type="dxa" w:w="2076"/>
          </w:tcPr>
          <w:p/>
        </w:tc>
        <w:tc>
          <w:tcPr>
            <w:tcW w:type="dxa" w:w="415"/>
          </w:tcPr>
          <w:p>
            <w:pPr>
              <w:pStyle w:val="null3"/>
            </w:pPr>
            <w:r>
              <w:rPr/>
              <w:t>7</w:t>
            </w:r>
          </w:p>
        </w:tc>
        <w:tc>
          <w:tcPr>
            <w:tcW w:type="dxa" w:w="5814"/>
          </w:tcPr>
          <w:p>
            <w:pPr>
              <w:pStyle w:val="null3"/>
            </w:pPr>
            <w:r>
              <w:rPr/>
              <w:t>2)支持自定义导出数据，拖拽式配置字段的显示与否与展现顺序。</w:t>
            </w:r>
          </w:p>
        </w:tc>
      </w:tr>
      <w:tr>
        <w:tc>
          <w:tcPr>
            <w:tcW w:type="dxa" w:w="2076"/>
          </w:tcPr>
          <w:p/>
        </w:tc>
        <w:tc>
          <w:tcPr>
            <w:tcW w:type="dxa" w:w="415"/>
          </w:tcPr>
          <w:p>
            <w:pPr>
              <w:pStyle w:val="null3"/>
            </w:pPr>
            <w:r>
              <w:rPr/>
              <w:t>8</w:t>
            </w:r>
          </w:p>
        </w:tc>
        <w:tc>
          <w:tcPr>
            <w:tcW w:type="dxa" w:w="5814"/>
          </w:tcPr>
          <w:p>
            <w:pPr>
              <w:pStyle w:val="null3"/>
            </w:pPr>
            <w:r>
              <w:rPr/>
              <w:t>3)支持结合加密、脱敏、数据安全等级等手段，将用户访问数据的权限控制在字段级别。如果字段数据安全等级高于用户安全等级，则该用户无法查看该字段。如果字段对该用户脱敏，则看到的脱敏后的数据。</w:t>
            </w:r>
          </w:p>
        </w:tc>
      </w:tr>
      <w:tr>
        <w:tc>
          <w:tcPr>
            <w:tcW w:type="dxa" w:w="2076"/>
          </w:tcPr>
          <w:p/>
        </w:tc>
        <w:tc>
          <w:tcPr>
            <w:tcW w:type="dxa" w:w="415"/>
          </w:tcPr>
          <w:p>
            <w:pPr>
              <w:pStyle w:val="null3"/>
            </w:pPr>
            <w:r>
              <w:rPr/>
              <w:t>9</w:t>
            </w:r>
          </w:p>
        </w:tc>
        <w:tc>
          <w:tcPr>
            <w:tcW w:type="dxa" w:w="5814"/>
          </w:tcPr>
          <w:p>
            <w:pPr>
              <w:pStyle w:val="null3"/>
            </w:pPr>
            <w:r>
              <w:rPr/>
              <w:t>4.数据集市</w:t>
            </w:r>
          </w:p>
          <w:p>
            <w:pPr>
              <w:pStyle w:val="null3"/>
            </w:pPr>
            <w:r>
              <w:rPr/>
              <w:t>1)支持以卡片与列表两种方式查看数据集市中表的数据与元数据。</w:t>
            </w:r>
          </w:p>
        </w:tc>
      </w:tr>
      <w:tr>
        <w:tc>
          <w:tcPr>
            <w:tcW w:type="dxa" w:w="2076"/>
          </w:tcPr>
          <w:p/>
        </w:tc>
        <w:tc>
          <w:tcPr>
            <w:tcW w:type="dxa" w:w="415"/>
          </w:tcPr>
          <w:p>
            <w:pPr>
              <w:pStyle w:val="null3"/>
            </w:pPr>
            <w:r>
              <w:rPr/>
              <w:t>10</w:t>
            </w:r>
          </w:p>
        </w:tc>
        <w:tc>
          <w:tcPr>
            <w:tcW w:type="dxa" w:w="5814"/>
          </w:tcPr>
          <w:p>
            <w:pPr>
              <w:pStyle w:val="null3"/>
            </w:pPr>
            <w:r>
              <w:rPr/>
              <w:t>2)支持自定义导出数据，拖拽式配置字段的显示与否与展现顺序。</w:t>
            </w:r>
          </w:p>
        </w:tc>
      </w:tr>
      <w:tr>
        <w:tc>
          <w:tcPr>
            <w:tcW w:type="dxa" w:w="2076"/>
          </w:tcPr>
          <w:p/>
        </w:tc>
        <w:tc>
          <w:tcPr>
            <w:tcW w:type="dxa" w:w="415"/>
          </w:tcPr>
          <w:p>
            <w:pPr>
              <w:pStyle w:val="null3"/>
            </w:pPr>
            <w:r>
              <w:rPr/>
              <w:t>11</w:t>
            </w:r>
          </w:p>
        </w:tc>
        <w:tc>
          <w:tcPr>
            <w:tcW w:type="dxa" w:w="5814"/>
          </w:tcPr>
          <w:p>
            <w:pPr>
              <w:pStyle w:val="null3"/>
            </w:pPr>
            <w:r>
              <w:rPr/>
              <w:t>3)支持结合加密、脱敏、数据安全等级等手段，将用户访问数据的权限控制在字段级别。如果字段数据安全等级高于用户安全等级，则该用户无法查看该字段。如果字段对该用户脱敏，则看到的脱敏后的数据。</w:t>
            </w:r>
          </w:p>
        </w:tc>
      </w:tr>
      <w:tr>
        <w:tc>
          <w:tcPr>
            <w:tcW w:type="dxa" w:w="2076"/>
          </w:tcPr>
          <w:p>
            <w:pPr>
              <w:pStyle w:val="null3"/>
            </w:pPr>
            <w:r>
              <w:rPr/>
              <w:t>▲</w:t>
            </w:r>
          </w:p>
        </w:tc>
        <w:tc>
          <w:tcPr>
            <w:tcW w:type="dxa" w:w="415"/>
          </w:tcPr>
          <w:p>
            <w:pPr>
              <w:pStyle w:val="null3"/>
            </w:pPr>
            <w:r>
              <w:rPr/>
              <w:t>12</w:t>
            </w:r>
          </w:p>
        </w:tc>
        <w:tc>
          <w:tcPr>
            <w:tcW w:type="dxa" w:w="5814"/>
          </w:tcPr>
          <w:p>
            <w:pPr>
              <w:pStyle w:val="null3"/>
            </w:pPr>
            <w:r>
              <w:rPr/>
              <w:t>4)用户并发查询：满足数据查询并发用户数支持1000个且平均响应时间≤1秒，事务成功率为100%的性能效率要求。</w:t>
            </w:r>
            <w:r>
              <w:rPr>
                <w:b/>
              </w:rPr>
              <w:t>【投标文件中提供以下任意一个材料作为证明材料 :①提供具有第三方检测机构出具的带有 CMA 或 CNAS 标志的检测报告复印件，并加盖投标人公章。②提供产品官方公开的网页相应参数截图及网址链接，并加盖投标人公章。若提供第②点证明材料，须承诺供货时提供第①点的检测报告。该条款证明文件所在页码：_____页，并在所在页的证明文件中作出明显的标记(例如用红色方框标记或划圈等)以明确响应情况。】</w:t>
            </w:r>
          </w:p>
        </w:tc>
      </w:tr>
      <w:tr>
        <w:tc>
          <w:tcPr>
            <w:tcW w:type="dxa" w:w="2076"/>
          </w:tcPr>
          <w:p>
            <w:pPr>
              <w:pStyle w:val="null3"/>
            </w:pPr>
            <w:r>
              <w:rPr/>
              <w:t>说明</w:t>
            </w:r>
          </w:p>
        </w:tc>
        <w:tc>
          <w:tcPr>
            <w:tcW w:type="dxa" w:w="6229"/>
            <w:gridSpan w:val="2"/>
          </w:tcPr>
          <w:p>
            <w:pPr>
              <w:pStyle w:val="null3"/>
              <w:jc w:val="left"/>
            </w:pPr>
            <w:r>
              <w:rPr/>
              <w:t xml:space="preserve"> 打“★”号条款为实质性条款，若有任何一条负偏离或不满足则导致投标无效。 </w:t>
            </w:r>
            <w:r>
              <w:br/>
            </w:r>
            <w:r>
              <w:rPr/>
              <w:t>打“▲”号条款为重要技术参数，若有部分“▲”条款未响应或不满足，不作为无效投标条款。</w:t>
            </w:r>
          </w:p>
        </w:tc>
      </w:tr>
    </w:tbl>
    <w:p>
      <w:pPr>
        <w:pStyle w:val="null3"/>
      </w:pPr>
      <w:r>
        <w:rPr>
          <w:b/>
        </w:rPr>
        <w:t>附表</w:t>
      </w:r>
      <w:r>
        <w:rPr>
          <w:b/>
        </w:rPr>
        <w:t>五</w:t>
      </w:r>
      <w:r>
        <w:rPr>
          <w:b/>
        </w:rPr>
        <w:t>：</w:t>
      </w:r>
      <w:r>
        <w:rPr>
          <w:b/>
        </w:rPr>
        <w:t>数据资产</w:t>
      </w:r>
    </w:p>
    <w:tbl>
      <w:tblPr>
        <w:tblW w:w="0" w:type="auto"/>
        <w:tblBorders>
          <w:top w:val="single"/>
          <w:left w:val="single"/>
          <w:bottom w:val="single"/>
          <w:right w:val="single"/>
          <w:insideH w:val="single"/>
          <w:insideV w:val="single"/>
        </w:tblBorders>
      </w:tblPr>
      <w:tblGrid>
        <w:gridCol w:w="2076"/>
        <w:gridCol w:w="415"/>
        <w:gridCol w:w="5814"/>
      </w:tblGrid>
      <w:tr>
        <w:tc>
          <w:tcPr>
            <w:tcW w:type="dxa" w:w="2076"/>
          </w:tcPr>
          <w:p>
            <w:pPr>
              <w:pStyle w:val="null3"/>
            </w:pPr>
            <w:r>
              <w:rPr/>
              <w:t>参数性质</w:t>
            </w:r>
          </w:p>
        </w:tc>
        <w:tc>
          <w:tcPr>
            <w:tcW w:type="dxa" w:w="415"/>
          </w:tcPr>
          <w:p>
            <w:pPr>
              <w:pStyle w:val="null3"/>
            </w:pPr>
            <w:r>
              <w:rPr/>
              <w:t>序号</w:t>
            </w:r>
          </w:p>
        </w:tc>
        <w:tc>
          <w:tcPr>
            <w:tcW w:type="dxa" w:w="5814"/>
          </w:tcPr>
          <w:p>
            <w:pPr>
              <w:pStyle w:val="null3"/>
            </w:pPr>
            <w:r>
              <w:rPr/>
              <w:t>具体技术(参数)要求</w:t>
            </w:r>
          </w:p>
        </w:tc>
      </w:tr>
      <w:tr>
        <w:tc>
          <w:tcPr>
            <w:tcW w:type="dxa" w:w="2076"/>
          </w:tcPr>
          <w:p/>
        </w:tc>
        <w:tc>
          <w:tcPr>
            <w:tcW w:type="dxa" w:w="415"/>
          </w:tcPr>
          <w:p>
            <w:pPr>
              <w:pStyle w:val="null3"/>
            </w:pPr>
            <w:r>
              <w:rPr/>
              <w:t>1</w:t>
            </w:r>
          </w:p>
        </w:tc>
        <w:tc>
          <w:tcPr>
            <w:tcW w:type="dxa" w:w="5814"/>
          </w:tcPr>
          <w:p>
            <w:pPr>
              <w:pStyle w:val="null3"/>
            </w:pPr>
            <w:r>
              <w:rPr/>
              <w:t>1.资产概览</w:t>
            </w:r>
          </w:p>
          <w:p>
            <w:pPr>
              <w:pStyle w:val="null3"/>
            </w:pPr>
            <w:r>
              <w:rPr/>
              <w:t>支持查看数据资产的基本情况统计。包括资产总数，已上架资产数，资产类型，上架/全部资产数据量按时间变化统计，资产类型统计，资产开放服务类型统计，资产审批情况统计，各部门资产数量统计，各系统资产数量统计。</w:t>
            </w:r>
          </w:p>
        </w:tc>
      </w:tr>
      <w:tr>
        <w:tc>
          <w:tcPr>
            <w:tcW w:type="dxa" w:w="2076"/>
          </w:tcPr>
          <w:p/>
        </w:tc>
        <w:tc>
          <w:tcPr>
            <w:tcW w:type="dxa" w:w="415"/>
          </w:tcPr>
          <w:p>
            <w:pPr>
              <w:pStyle w:val="null3"/>
            </w:pPr>
            <w:r>
              <w:rPr/>
              <w:t>2</w:t>
            </w:r>
          </w:p>
        </w:tc>
        <w:tc>
          <w:tcPr>
            <w:tcW w:type="dxa" w:w="5814"/>
          </w:tcPr>
          <w:p>
            <w:pPr>
              <w:pStyle w:val="null3"/>
            </w:pPr>
            <w:r>
              <w:rPr/>
              <w:t>2.资产编目</w:t>
            </w:r>
          </w:p>
          <w:p>
            <w:pPr>
              <w:pStyle w:val="null3"/>
            </w:pPr>
            <w:r>
              <w:rPr/>
              <w:t>1)支持对全校数据资产进行编目。可以单个新增资产，也可以从元数据中批量新增、修改、删除数据资产。支持导出资产目录，支持批量设置来源部门、来源系统、共享等级、安全等级等资产属性。</w:t>
            </w:r>
            <w:r>
              <w:rPr>
                <w:b/>
              </w:rPr>
              <w:t>（提供现场演示）</w:t>
            </w:r>
          </w:p>
        </w:tc>
      </w:tr>
      <w:tr>
        <w:tc>
          <w:tcPr>
            <w:tcW w:type="dxa" w:w="2076"/>
          </w:tcPr>
          <w:p/>
        </w:tc>
        <w:tc>
          <w:tcPr>
            <w:tcW w:type="dxa" w:w="415"/>
          </w:tcPr>
          <w:p>
            <w:pPr>
              <w:pStyle w:val="null3"/>
            </w:pPr>
            <w:r>
              <w:rPr/>
              <w:t>3</w:t>
            </w:r>
          </w:p>
        </w:tc>
        <w:tc>
          <w:tcPr>
            <w:tcW w:type="dxa" w:w="5814"/>
          </w:tcPr>
          <w:p>
            <w:pPr>
              <w:pStyle w:val="null3"/>
            </w:pPr>
            <w:r>
              <w:rPr/>
              <w:t>2)支持自定义资产目录，可以无限往下级分组，在分组下新增资产。开启拖拽模式后，可以将分组移动到分组下，或者资产移动到分组下。</w:t>
            </w:r>
          </w:p>
        </w:tc>
      </w:tr>
      <w:tr>
        <w:tc>
          <w:tcPr>
            <w:tcW w:type="dxa" w:w="2076"/>
          </w:tcPr>
          <w:p/>
        </w:tc>
        <w:tc>
          <w:tcPr>
            <w:tcW w:type="dxa" w:w="415"/>
          </w:tcPr>
          <w:p>
            <w:pPr>
              <w:pStyle w:val="null3"/>
            </w:pPr>
            <w:r>
              <w:rPr/>
              <w:t>4</w:t>
            </w:r>
          </w:p>
        </w:tc>
        <w:tc>
          <w:tcPr>
            <w:tcW w:type="dxa" w:w="5814"/>
          </w:tcPr>
          <w:p>
            <w:pPr>
              <w:pStyle w:val="null3"/>
            </w:pPr>
            <w:r>
              <w:rPr/>
              <w:t>3)内置数据表、文件两种资产类型以及它们对应的资产属性。支持新增、编辑、删除资产类型，对不同资产类型进行属性配置，支持新增，修改，删除资产属性，支持对资产属性进行排序，设置属性是否导出项，是否启用。</w:t>
            </w:r>
          </w:p>
        </w:tc>
      </w:tr>
      <w:tr>
        <w:tc>
          <w:tcPr>
            <w:tcW w:type="dxa" w:w="2076"/>
          </w:tcPr>
          <w:p/>
        </w:tc>
        <w:tc>
          <w:tcPr>
            <w:tcW w:type="dxa" w:w="415"/>
          </w:tcPr>
          <w:p>
            <w:pPr>
              <w:pStyle w:val="null3"/>
            </w:pPr>
            <w:r>
              <w:rPr/>
              <w:t>5</w:t>
            </w:r>
          </w:p>
        </w:tc>
        <w:tc>
          <w:tcPr>
            <w:tcW w:type="dxa" w:w="5814"/>
          </w:tcPr>
          <w:p>
            <w:pPr>
              <w:pStyle w:val="null3"/>
            </w:pPr>
            <w:r>
              <w:rPr/>
              <w:t>3.确源确权</w:t>
            </w:r>
          </w:p>
          <w:p>
            <w:pPr>
              <w:pStyle w:val="null3"/>
            </w:pPr>
            <w:r>
              <w:rPr/>
              <w:t>1)支持以图形化方式查看各部门确源确权资产数量和各业务域确源确权资产数量的进度情况。</w:t>
            </w:r>
          </w:p>
        </w:tc>
      </w:tr>
      <w:tr>
        <w:tc>
          <w:tcPr>
            <w:tcW w:type="dxa" w:w="2076"/>
          </w:tcPr>
          <w:p/>
        </w:tc>
        <w:tc>
          <w:tcPr>
            <w:tcW w:type="dxa" w:w="415"/>
          </w:tcPr>
          <w:p>
            <w:pPr>
              <w:pStyle w:val="null3"/>
            </w:pPr>
            <w:r>
              <w:rPr/>
              <w:t>6</w:t>
            </w:r>
          </w:p>
        </w:tc>
        <w:tc>
          <w:tcPr>
            <w:tcW w:type="dxa" w:w="5814"/>
          </w:tcPr>
          <w:p>
            <w:pPr>
              <w:pStyle w:val="null3"/>
            </w:pPr>
            <w:r>
              <w:rPr/>
              <w:t>2)支持（批量）新增，删除，查看，导入，导出各部门线上或线下确源确权任务，支持下钻到每个任务的表级别，字段级别查看确源状态与结果。</w:t>
            </w:r>
          </w:p>
        </w:tc>
      </w:tr>
      <w:tr>
        <w:tc>
          <w:tcPr>
            <w:tcW w:type="dxa" w:w="2076"/>
          </w:tcPr>
          <w:p/>
        </w:tc>
        <w:tc>
          <w:tcPr>
            <w:tcW w:type="dxa" w:w="415"/>
          </w:tcPr>
          <w:p>
            <w:pPr>
              <w:pStyle w:val="null3"/>
            </w:pPr>
            <w:r>
              <w:rPr/>
              <w:t>7</w:t>
            </w:r>
          </w:p>
        </w:tc>
        <w:tc>
          <w:tcPr>
            <w:tcW w:type="dxa" w:w="5814"/>
          </w:tcPr>
          <w:p>
            <w:pPr>
              <w:pStyle w:val="null3"/>
            </w:pPr>
            <w:r>
              <w:rPr/>
              <w:t>3)对于有争议的或没有确认来源部门的字段，支持进行线上或线下二次确认。支持查看未确源清单汇总，导出清单，导入结果，将未确源字段移动到已确源清单；查看已确源清单汇总，导出清单等操作。</w:t>
            </w:r>
          </w:p>
        </w:tc>
      </w:tr>
      <w:tr>
        <w:tc>
          <w:tcPr>
            <w:tcW w:type="dxa" w:w="2076"/>
          </w:tcPr>
          <w:p/>
        </w:tc>
        <w:tc>
          <w:tcPr>
            <w:tcW w:type="dxa" w:w="415"/>
          </w:tcPr>
          <w:p>
            <w:pPr>
              <w:pStyle w:val="null3"/>
            </w:pPr>
            <w:r>
              <w:rPr/>
              <w:t>8</w:t>
            </w:r>
          </w:p>
        </w:tc>
        <w:tc>
          <w:tcPr>
            <w:tcW w:type="dxa" w:w="5814"/>
          </w:tcPr>
          <w:p>
            <w:pPr>
              <w:pStyle w:val="null3"/>
            </w:pPr>
            <w:r>
              <w:rPr/>
              <w:t>4.资产开放</w:t>
            </w:r>
          </w:p>
          <w:p>
            <w:pPr>
              <w:pStyle w:val="null3"/>
            </w:pPr>
            <w:r>
              <w:rPr/>
              <w:t>1)支持对未上架资产进行（批量）上架申请，配置开放属性，查看详情等操作。</w:t>
            </w:r>
          </w:p>
        </w:tc>
      </w:tr>
      <w:tr>
        <w:tc>
          <w:tcPr>
            <w:tcW w:type="dxa" w:w="2076"/>
          </w:tcPr>
          <w:p/>
        </w:tc>
        <w:tc>
          <w:tcPr>
            <w:tcW w:type="dxa" w:w="415"/>
          </w:tcPr>
          <w:p>
            <w:pPr>
              <w:pStyle w:val="null3"/>
            </w:pPr>
            <w:r>
              <w:rPr/>
              <w:t>9</w:t>
            </w:r>
          </w:p>
        </w:tc>
        <w:tc>
          <w:tcPr>
            <w:tcW w:type="dxa" w:w="5814"/>
          </w:tcPr>
          <w:p>
            <w:pPr>
              <w:pStyle w:val="null3"/>
            </w:pPr>
            <w:r>
              <w:rPr/>
              <w:t>2)对于数据表类型的资产，支持API、ETL、中间表、离线EXCEL、在线查询、实时订阅六种开放服务类型。对于文件类型的资产，支持文件预览、文件下载两种服务类型。</w:t>
            </w:r>
            <w:r>
              <w:rPr>
                <w:b/>
              </w:rPr>
              <w:t>（提供现场演示）</w:t>
            </w:r>
          </w:p>
        </w:tc>
      </w:tr>
      <w:tr>
        <w:tc>
          <w:tcPr>
            <w:tcW w:type="dxa" w:w="2076"/>
          </w:tcPr>
          <w:p/>
        </w:tc>
        <w:tc>
          <w:tcPr>
            <w:tcW w:type="dxa" w:w="415"/>
          </w:tcPr>
          <w:p>
            <w:pPr>
              <w:pStyle w:val="null3"/>
            </w:pPr>
            <w:r>
              <w:rPr/>
              <w:t>10</w:t>
            </w:r>
          </w:p>
        </w:tc>
        <w:tc>
          <w:tcPr>
            <w:tcW w:type="dxa" w:w="5814"/>
          </w:tcPr>
          <w:p>
            <w:pPr>
              <w:pStyle w:val="null3"/>
            </w:pPr>
            <w:r>
              <w:rPr/>
              <w:t>3)支持对已下架资产进行（批量）上架申请，查看详情，批量下架等操作。</w:t>
            </w:r>
          </w:p>
        </w:tc>
      </w:tr>
      <w:tr>
        <w:tc>
          <w:tcPr>
            <w:tcW w:type="dxa" w:w="2076"/>
          </w:tcPr>
          <w:p/>
        </w:tc>
        <w:tc>
          <w:tcPr>
            <w:tcW w:type="dxa" w:w="415"/>
          </w:tcPr>
          <w:p>
            <w:pPr>
              <w:pStyle w:val="null3"/>
            </w:pPr>
            <w:r>
              <w:rPr/>
              <w:t>11</w:t>
            </w:r>
          </w:p>
        </w:tc>
        <w:tc>
          <w:tcPr>
            <w:tcW w:type="dxa" w:w="5814"/>
          </w:tcPr>
          <w:p>
            <w:pPr>
              <w:pStyle w:val="null3"/>
            </w:pPr>
            <w:r>
              <w:rPr/>
              <w:t>4)支持对提交了上架申请或下架申请的资产进行审批，（批量）选择资产通过或不通过审批，支持查看已审批的详情信息。</w:t>
            </w:r>
          </w:p>
        </w:tc>
      </w:tr>
      <w:tr>
        <w:tc>
          <w:tcPr>
            <w:tcW w:type="dxa" w:w="2076"/>
          </w:tcPr>
          <w:p/>
        </w:tc>
        <w:tc>
          <w:tcPr>
            <w:tcW w:type="dxa" w:w="415"/>
          </w:tcPr>
          <w:p>
            <w:pPr>
              <w:pStyle w:val="null3"/>
            </w:pPr>
            <w:r>
              <w:rPr/>
              <w:t>12</w:t>
            </w:r>
          </w:p>
        </w:tc>
        <w:tc>
          <w:tcPr>
            <w:tcW w:type="dxa" w:w="5814"/>
          </w:tcPr>
          <w:p>
            <w:pPr>
              <w:pStyle w:val="null3"/>
            </w:pPr>
            <w:r>
              <w:rPr/>
              <w:t>5.资产运营</w:t>
            </w:r>
          </w:p>
          <w:p>
            <w:pPr>
              <w:pStyle w:val="null3"/>
            </w:pPr>
            <w:r>
              <w:rPr/>
              <w:t>1)支持查看与查询统一资产服务平台用户反馈的数据需求问题、建议与意见，并进行回复。</w:t>
            </w:r>
          </w:p>
        </w:tc>
      </w:tr>
      <w:tr>
        <w:tc>
          <w:tcPr>
            <w:tcW w:type="dxa" w:w="2076"/>
          </w:tcPr>
          <w:p/>
        </w:tc>
        <w:tc>
          <w:tcPr>
            <w:tcW w:type="dxa" w:w="415"/>
          </w:tcPr>
          <w:p>
            <w:pPr>
              <w:pStyle w:val="null3"/>
            </w:pPr>
            <w:r>
              <w:rPr/>
              <w:t>13</w:t>
            </w:r>
          </w:p>
        </w:tc>
        <w:tc>
          <w:tcPr>
            <w:tcW w:type="dxa" w:w="5814"/>
          </w:tcPr>
          <w:p>
            <w:pPr>
              <w:pStyle w:val="null3"/>
            </w:pPr>
            <w:r>
              <w:rPr/>
              <w:t>2)支持查看与查询各部门提交的编目申请，变更申请，下架申请，上架申请，进行处理或回复，回复完成后查看回复。</w:t>
            </w:r>
          </w:p>
        </w:tc>
      </w:tr>
      <w:tr>
        <w:tc>
          <w:tcPr>
            <w:tcW w:type="dxa" w:w="2076"/>
          </w:tcPr>
          <w:p/>
        </w:tc>
        <w:tc>
          <w:tcPr>
            <w:tcW w:type="dxa" w:w="415"/>
          </w:tcPr>
          <w:p>
            <w:pPr>
              <w:pStyle w:val="null3"/>
            </w:pPr>
            <w:r>
              <w:rPr/>
              <w:t>14</w:t>
            </w:r>
          </w:p>
        </w:tc>
        <w:tc>
          <w:tcPr>
            <w:tcW w:type="dxa" w:w="5814"/>
          </w:tcPr>
          <w:p>
            <w:pPr>
              <w:pStyle w:val="null3"/>
            </w:pPr>
            <w:r>
              <w:rPr/>
              <w:t>3)支持查看统一资产服务平台用户对数据资产、数据标准的所有评分与评价。</w:t>
            </w:r>
          </w:p>
        </w:tc>
      </w:tr>
      <w:tr>
        <w:tc>
          <w:tcPr>
            <w:tcW w:type="dxa" w:w="2076"/>
          </w:tcPr>
          <w:p>
            <w:pPr>
              <w:pStyle w:val="null3"/>
            </w:pPr>
            <w:r>
              <w:rPr/>
              <w:t>说明</w:t>
            </w:r>
          </w:p>
        </w:tc>
        <w:tc>
          <w:tcPr>
            <w:tcW w:type="dxa" w:w="6229"/>
            <w:gridSpan w:val="2"/>
          </w:tcPr>
          <w:p>
            <w:pPr>
              <w:pStyle w:val="null3"/>
              <w:jc w:val="left"/>
            </w:pPr>
            <w:r>
              <w:rPr/>
              <w:t xml:space="preserve"> 打“★”号条款为实质性条款，若有任何一条负偏离或不满足则导致投标无效。 </w:t>
            </w:r>
            <w:r>
              <w:br/>
            </w:r>
            <w:r>
              <w:rPr/>
              <w:t>打“▲”号条款为重要技术参数，若有部分“▲”条款未响应或不满足，不作为无效投标条款。</w:t>
            </w:r>
          </w:p>
        </w:tc>
      </w:tr>
    </w:tbl>
    <w:p>
      <w:pPr>
        <w:pStyle w:val="null3"/>
      </w:pPr>
      <w:r>
        <w:rPr>
          <w:b/>
        </w:rPr>
        <w:t>附表</w:t>
      </w:r>
      <w:r>
        <w:rPr>
          <w:b/>
        </w:rPr>
        <w:t>六</w:t>
      </w:r>
      <w:r>
        <w:rPr>
          <w:b/>
        </w:rPr>
        <w:t>：</w:t>
      </w:r>
      <w:r>
        <w:rPr>
          <w:b/>
        </w:rPr>
        <w:t>数据集成</w:t>
      </w:r>
    </w:p>
    <w:tbl>
      <w:tblPr>
        <w:tblW w:w="0" w:type="auto"/>
        <w:tblBorders>
          <w:top w:val="single"/>
          <w:left w:val="single"/>
          <w:bottom w:val="single"/>
          <w:right w:val="single"/>
          <w:insideH w:val="single"/>
          <w:insideV w:val="single"/>
        </w:tblBorders>
      </w:tblPr>
      <w:tblGrid>
        <w:gridCol w:w="2076"/>
        <w:gridCol w:w="415"/>
        <w:gridCol w:w="5814"/>
      </w:tblGrid>
      <w:tr>
        <w:tc>
          <w:tcPr>
            <w:tcW w:type="dxa" w:w="2076"/>
          </w:tcPr>
          <w:p>
            <w:pPr>
              <w:pStyle w:val="null3"/>
            </w:pPr>
            <w:r>
              <w:rPr/>
              <w:t>参数性质</w:t>
            </w:r>
          </w:p>
        </w:tc>
        <w:tc>
          <w:tcPr>
            <w:tcW w:type="dxa" w:w="415"/>
          </w:tcPr>
          <w:p>
            <w:pPr>
              <w:pStyle w:val="null3"/>
            </w:pPr>
            <w:r>
              <w:rPr/>
              <w:t>序号</w:t>
            </w:r>
          </w:p>
        </w:tc>
        <w:tc>
          <w:tcPr>
            <w:tcW w:type="dxa" w:w="5814"/>
          </w:tcPr>
          <w:p>
            <w:pPr>
              <w:pStyle w:val="null3"/>
            </w:pPr>
            <w:r>
              <w:rPr/>
              <w:t>具体技术(参数)要求</w:t>
            </w:r>
          </w:p>
        </w:tc>
      </w:tr>
      <w:tr>
        <w:tc>
          <w:tcPr>
            <w:tcW w:type="dxa" w:w="2076"/>
          </w:tcPr>
          <w:p>
            <w:pPr>
              <w:pStyle w:val="null3"/>
            </w:pPr>
            <w:r>
              <w:rPr/>
              <w:t>▲</w:t>
            </w:r>
          </w:p>
        </w:tc>
        <w:tc>
          <w:tcPr>
            <w:tcW w:type="dxa" w:w="415"/>
          </w:tcPr>
          <w:p>
            <w:pPr>
              <w:pStyle w:val="null3"/>
            </w:pPr>
            <w:r>
              <w:rPr/>
              <w:t>1</w:t>
            </w:r>
          </w:p>
        </w:tc>
        <w:tc>
          <w:tcPr>
            <w:tcW w:type="dxa" w:w="5814"/>
          </w:tcPr>
          <w:p>
            <w:pPr>
              <w:pStyle w:val="null3"/>
            </w:pPr>
            <w:r>
              <w:rPr/>
              <w:t>1.支持数据采集、数据清洗转换、模型转换、共享交换、补采、上报以及其他自定义任务类型，同时每个开发方式都有相应开发说明辅助用户轻松完成数据集成操作。</w:t>
            </w:r>
            <w:r>
              <w:rPr>
                <w:b/>
              </w:rPr>
              <w:t>【投标文件中提供以下任意一个材料作为证明材料 :①提供具有第三方检测机构出具的带有 CMA 或 CNAS 标志的检测报告复印件，并加盖投标人公章。②提供产品官方公开的网页相应参数截图及网址链接，并加盖投标人公章。若提供第②点证明材料，须承诺供货时提供第①点的检测报告。该条款证明文件所在页码：_____页，并在所在页的证明文件中作出明显的标记(例如用红色方框标记或划圈等)以明确响应情况。】</w:t>
            </w:r>
          </w:p>
        </w:tc>
      </w:tr>
      <w:tr>
        <w:tc>
          <w:tcPr>
            <w:tcW w:type="dxa" w:w="2076"/>
          </w:tcPr>
          <w:p/>
        </w:tc>
        <w:tc>
          <w:tcPr>
            <w:tcW w:type="dxa" w:w="415"/>
          </w:tcPr>
          <w:p>
            <w:pPr>
              <w:pStyle w:val="null3"/>
            </w:pPr>
            <w:r>
              <w:rPr/>
              <w:t>2</w:t>
            </w:r>
          </w:p>
        </w:tc>
        <w:tc>
          <w:tcPr>
            <w:tcW w:type="dxa" w:w="5814"/>
          </w:tcPr>
          <w:p>
            <w:pPr>
              <w:pStyle w:val="null3"/>
            </w:pPr>
            <w:r>
              <w:rPr/>
              <w:t>2.数据集成</w:t>
            </w:r>
          </w:p>
          <w:p>
            <w:pPr>
              <w:pStyle w:val="null3"/>
            </w:pPr>
            <w:r>
              <w:rPr/>
              <w:t>1)支持对所有数据集成的数据源做统一化管理，提供数据源登记、修改和删除功能。支持主流数据库包括但不限于MySQL、Oracle、SQL Server、PostgreSQL、Doris、Greenplum、openGauss等数据源；支持国产化数据库金仓、达梦，支持NoSQL如MongoDB、Redis、Elasticsearch；支持Hadoop体系如Hive、HDFS；也支持消息系统如Kafka，以及文件系统FTP、SFTP。</w:t>
            </w:r>
          </w:p>
        </w:tc>
      </w:tr>
      <w:tr>
        <w:tc>
          <w:tcPr>
            <w:tcW w:type="dxa" w:w="2076"/>
          </w:tcPr>
          <w:p/>
        </w:tc>
        <w:tc>
          <w:tcPr>
            <w:tcW w:type="dxa" w:w="415"/>
          </w:tcPr>
          <w:p>
            <w:pPr>
              <w:pStyle w:val="null3"/>
            </w:pPr>
            <w:r>
              <w:rPr/>
              <w:t>3</w:t>
            </w:r>
          </w:p>
        </w:tc>
        <w:tc>
          <w:tcPr>
            <w:tcW w:type="dxa" w:w="5814"/>
          </w:tcPr>
          <w:p>
            <w:pPr>
              <w:pStyle w:val="null3"/>
            </w:pPr>
            <w:r>
              <w:rPr/>
              <w:t>2)支持管理所有数据同步任务，提供离线数据同步和实时数据同步的能力。离线同步支持常见MySQL、Oracle、SQLServer、PostgreSQL、金仓、达梦等关系型数据库以及MongoDB、ElasticSearch等NoSQL数据库的离线集成。</w:t>
            </w:r>
          </w:p>
        </w:tc>
      </w:tr>
      <w:tr>
        <w:tc>
          <w:tcPr>
            <w:tcW w:type="dxa" w:w="2076"/>
          </w:tcPr>
          <w:p/>
        </w:tc>
        <w:tc>
          <w:tcPr>
            <w:tcW w:type="dxa" w:w="415"/>
          </w:tcPr>
          <w:p>
            <w:pPr>
              <w:pStyle w:val="null3"/>
            </w:pPr>
            <w:r>
              <w:rPr/>
              <w:t>4</w:t>
            </w:r>
          </w:p>
        </w:tc>
        <w:tc>
          <w:tcPr>
            <w:tcW w:type="dxa" w:w="5814"/>
          </w:tcPr>
          <w:p>
            <w:pPr>
              <w:pStyle w:val="null3"/>
            </w:pPr>
            <w:r>
              <w:rPr/>
              <w:t>3.离线同步功能如下：</w:t>
            </w:r>
          </w:p>
          <w:p>
            <w:pPr>
              <w:pStyle w:val="null3"/>
            </w:pPr>
            <w:r>
              <w:rPr/>
              <w:t>1)支持数据过滤和增量同步，自动记录上一次数据同步位置，实现数据自动增量同步。</w:t>
            </w:r>
          </w:p>
        </w:tc>
      </w:tr>
      <w:tr>
        <w:tc>
          <w:tcPr>
            <w:tcW w:type="dxa" w:w="2076"/>
          </w:tcPr>
          <w:p/>
        </w:tc>
        <w:tc>
          <w:tcPr>
            <w:tcW w:type="dxa" w:w="415"/>
          </w:tcPr>
          <w:p>
            <w:pPr>
              <w:pStyle w:val="null3"/>
            </w:pPr>
            <w:r>
              <w:rPr/>
              <w:t>5</w:t>
            </w:r>
          </w:p>
        </w:tc>
        <w:tc>
          <w:tcPr>
            <w:tcW w:type="dxa" w:w="5814"/>
          </w:tcPr>
          <w:p>
            <w:pPr>
              <w:pStyle w:val="null3"/>
            </w:pPr>
            <w:r>
              <w:rPr/>
              <w:t>2)支持数据同步任务执行过程中检测目标表是否存在，不存在则自动建表，并且后续任务执行会检测表是否变更并自动同步表结构，避免数据同步任务因表结构不一致而导致数据同步失败。</w:t>
            </w:r>
          </w:p>
        </w:tc>
      </w:tr>
      <w:tr>
        <w:tc>
          <w:tcPr>
            <w:tcW w:type="dxa" w:w="2076"/>
          </w:tcPr>
          <w:p/>
        </w:tc>
        <w:tc>
          <w:tcPr>
            <w:tcW w:type="dxa" w:w="415"/>
          </w:tcPr>
          <w:p>
            <w:pPr>
              <w:pStyle w:val="null3"/>
            </w:pPr>
            <w:r>
              <w:rPr/>
              <w:t>6</w:t>
            </w:r>
          </w:p>
        </w:tc>
        <w:tc>
          <w:tcPr>
            <w:tcW w:type="dxa" w:w="5814"/>
          </w:tcPr>
          <w:p>
            <w:pPr>
              <w:pStyle w:val="null3"/>
            </w:pPr>
            <w:r>
              <w:rPr/>
              <w:t>3)支持异构数据库的类型和长度的自动转换，支持自定义配置字符类型长度扩充倍数和类型转换；支持一键批量转换数据类型，避免数据同步失败。</w:t>
            </w:r>
          </w:p>
        </w:tc>
      </w:tr>
      <w:tr>
        <w:tc>
          <w:tcPr>
            <w:tcW w:type="dxa" w:w="2076"/>
          </w:tcPr>
          <w:p/>
        </w:tc>
        <w:tc>
          <w:tcPr>
            <w:tcW w:type="dxa" w:w="415"/>
          </w:tcPr>
          <w:p>
            <w:pPr>
              <w:pStyle w:val="null3"/>
            </w:pPr>
            <w:r>
              <w:rPr/>
              <w:t>7</w:t>
            </w:r>
          </w:p>
        </w:tc>
        <w:tc>
          <w:tcPr>
            <w:tcW w:type="dxa" w:w="5814"/>
          </w:tcPr>
          <w:p>
            <w:pPr>
              <w:pStyle w:val="null3"/>
            </w:pPr>
            <w:r>
              <w:rPr/>
              <w:t>4)支持任务配置异常率，同步过程中错误数据达到一定阈值，停止任务执行，避免错误数据影响下游。</w:t>
            </w:r>
          </w:p>
        </w:tc>
      </w:tr>
      <w:tr>
        <w:tc>
          <w:tcPr>
            <w:tcW w:type="dxa" w:w="2076"/>
          </w:tcPr>
          <w:p/>
        </w:tc>
        <w:tc>
          <w:tcPr>
            <w:tcW w:type="dxa" w:w="415"/>
          </w:tcPr>
          <w:p>
            <w:pPr>
              <w:pStyle w:val="null3"/>
            </w:pPr>
            <w:r>
              <w:rPr/>
              <w:t>8</w:t>
            </w:r>
          </w:p>
        </w:tc>
        <w:tc>
          <w:tcPr>
            <w:tcW w:type="dxa" w:w="5814"/>
          </w:tcPr>
          <w:p>
            <w:pPr>
              <w:pStyle w:val="null3"/>
            </w:pPr>
            <w:r>
              <w:rPr/>
              <w:t>5)支持高性能数据同步任务，指定切分键对数据分片并启动并发多任务进行数据同步，提高数据同步效率。支持控制并发线程数和同步速率限制，以及任务运行的最大内存大小、最小内存大小、任务组等设置。</w:t>
            </w:r>
          </w:p>
        </w:tc>
      </w:tr>
      <w:tr>
        <w:tc>
          <w:tcPr>
            <w:tcW w:type="dxa" w:w="2076"/>
          </w:tcPr>
          <w:p/>
        </w:tc>
        <w:tc>
          <w:tcPr>
            <w:tcW w:type="dxa" w:w="415"/>
          </w:tcPr>
          <w:p>
            <w:pPr>
              <w:pStyle w:val="null3"/>
            </w:pPr>
            <w:r>
              <w:rPr/>
              <w:t>9</w:t>
            </w:r>
          </w:p>
        </w:tc>
        <w:tc>
          <w:tcPr>
            <w:tcW w:type="dxa" w:w="5814"/>
          </w:tcPr>
          <w:p>
            <w:pPr>
              <w:pStyle w:val="null3"/>
            </w:pPr>
            <w:r>
              <w:rPr/>
              <w:t>6)支持数据预处理，在数据传输过程中做轻量级转换处理，支持裁剪列、转换列，支持groovy语言自定义编写转换函数。</w:t>
            </w:r>
          </w:p>
        </w:tc>
      </w:tr>
      <w:tr>
        <w:tc>
          <w:tcPr>
            <w:tcW w:type="dxa" w:w="2076"/>
          </w:tcPr>
          <w:p/>
        </w:tc>
        <w:tc>
          <w:tcPr>
            <w:tcW w:type="dxa" w:w="415"/>
          </w:tcPr>
          <w:p>
            <w:pPr>
              <w:pStyle w:val="null3"/>
            </w:pPr>
            <w:r>
              <w:rPr/>
              <w:t>10</w:t>
            </w:r>
          </w:p>
        </w:tc>
        <w:tc>
          <w:tcPr>
            <w:tcW w:type="dxa" w:w="5814"/>
          </w:tcPr>
          <w:p>
            <w:pPr>
              <w:pStyle w:val="null3"/>
            </w:pPr>
            <w:r>
              <w:rPr/>
              <w:t>7)支持断点续传，可从任务失败的地方开始继续同步。针对长时间同步任务，避免失败后数据得全量重新同步。</w:t>
            </w:r>
          </w:p>
        </w:tc>
      </w:tr>
      <w:tr>
        <w:tc>
          <w:tcPr>
            <w:tcW w:type="dxa" w:w="2076"/>
          </w:tcPr>
          <w:p/>
        </w:tc>
        <w:tc>
          <w:tcPr>
            <w:tcW w:type="dxa" w:w="415"/>
          </w:tcPr>
          <w:p>
            <w:pPr>
              <w:pStyle w:val="null3"/>
            </w:pPr>
            <w:r>
              <w:rPr/>
              <w:t>11</w:t>
            </w:r>
          </w:p>
        </w:tc>
        <w:tc>
          <w:tcPr>
            <w:tcW w:type="dxa" w:w="5814"/>
          </w:tcPr>
          <w:p>
            <w:pPr>
              <w:pStyle w:val="null3"/>
            </w:pPr>
            <w:r>
              <w:rPr/>
              <w:t>8)支持向导式批量创建离线同步任务，快速完成同构、异构数据源间数据同步任务配置，实现多表的数据迁移。</w:t>
            </w:r>
          </w:p>
        </w:tc>
      </w:tr>
      <w:tr>
        <w:tc>
          <w:tcPr>
            <w:tcW w:type="dxa" w:w="2076"/>
          </w:tcPr>
          <w:p/>
        </w:tc>
        <w:tc>
          <w:tcPr>
            <w:tcW w:type="dxa" w:w="415"/>
          </w:tcPr>
          <w:p>
            <w:pPr>
              <w:pStyle w:val="null3"/>
            </w:pPr>
            <w:r>
              <w:rPr/>
              <w:t>12</w:t>
            </w:r>
          </w:p>
        </w:tc>
        <w:tc>
          <w:tcPr>
            <w:tcW w:type="dxa" w:w="5814"/>
          </w:tcPr>
          <w:p>
            <w:pPr>
              <w:pStyle w:val="null3"/>
            </w:pPr>
            <w:r>
              <w:rPr/>
              <w:t>9)实时同步支持MySQL、Oracle、SQLServer、PostgreSQL、Kafka等多种数据源类型的实时集成。支持基于CDC技术实时捕获变更数据，将源端数据库中部分或全部表的数据变化实时同步至数据中心。首次全量集成，后自动切换增量持续同步变更数据。</w:t>
            </w:r>
          </w:p>
        </w:tc>
      </w:tr>
      <w:tr>
        <w:tc>
          <w:tcPr>
            <w:tcW w:type="dxa" w:w="2076"/>
          </w:tcPr>
          <w:p/>
        </w:tc>
        <w:tc>
          <w:tcPr>
            <w:tcW w:type="dxa" w:w="415"/>
          </w:tcPr>
          <w:p>
            <w:pPr>
              <w:pStyle w:val="null3"/>
            </w:pPr>
            <w:r>
              <w:rPr/>
              <w:t>13</w:t>
            </w:r>
          </w:p>
        </w:tc>
        <w:tc>
          <w:tcPr>
            <w:tcW w:type="dxa" w:w="5814"/>
          </w:tcPr>
          <w:p>
            <w:pPr>
              <w:pStyle w:val="null3"/>
            </w:pPr>
            <w:r>
              <w:rPr/>
              <w:t>10)实时同步任务支持传输起始点位配置、目标表结构调整、以及自定义脚本配置。</w:t>
            </w:r>
          </w:p>
        </w:tc>
      </w:tr>
      <w:tr>
        <w:tc>
          <w:tcPr>
            <w:tcW w:type="dxa" w:w="2076"/>
          </w:tcPr>
          <w:p/>
        </w:tc>
        <w:tc>
          <w:tcPr>
            <w:tcW w:type="dxa" w:w="415"/>
          </w:tcPr>
          <w:p>
            <w:pPr>
              <w:pStyle w:val="null3"/>
            </w:pPr>
            <w:r>
              <w:rPr/>
              <w:t>14</w:t>
            </w:r>
          </w:p>
        </w:tc>
        <w:tc>
          <w:tcPr>
            <w:tcW w:type="dxa" w:w="5814"/>
          </w:tcPr>
          <w:p>
            <w:pPr>
              <w:pStyle w:val="null3"/>
            </w:pPr>
            <w:r>
              <w:rPr/>
              <w:t>11)提供向导式配置整库同步任务，选择来源数据源和去向数据源，可配置是否自动建目标表，支持直接写入或清空目标表后写入两种写入规则。可对整库同步任务进行上下线、手动执行操作，可查看整库下各表的数据同步情况。</w:t>
            </w:r>
          </w:p>
        </w:tc>
      </w:tr>
      <w:tr>
        <w:tc>
          <w:tcPr>
            <w:tcW w:type="dxa" w:w="2076"/>
          </w:tcPr>
          <w:p>
            <w:pPr>
              <w:pStyle w:val="null3"/>
            </w:pPr>
            <w:r>
              <w:rPr/>
              <w:t>▲</w:t>
            </w:r>
          </w:p>
        </w:tc>
        <w:tc>
          <w:tcPr>
            <w:tcW w:type="dxa" w:w="415"/>
          </w:tcPr>
          <w:p>
            <w:pPr>
              <w:pStyle w:val="null3"/>
            </w:pPr>
            <w:r>
              <w:rPr/>
              <w:t>15</w:t>
            </w:r>
          </w:p>
        </w:tc>
        <w:tc>
          <w:tcPr>
            <w:tcW w:type="dxa" w:w="5814"/>
          </w:tcPr>
          <w:p>
            <w:pPr>
              <w:pStyle w:val="null3"/>
            </w:pPr>
            <w:r>
              <w:rPr/>
              <w:t>12)库对库数据采集：系统满足库对库进行数据交换每秒处理速度≥10万条的性能效率要求。</w:t>
            </w:r>
            <w:r>
              <w:rPr>
                <w:b/>
              </w:rPr>
              <w:t>【投标文件中提供以下任意一个材料作为证明材料 :①提供具有第三方检测机构出具的带有 CMA 或 CNAS 标志的检测报告复印件，并加盖投标人公章。②提供产品官方公开的网页相应参数截图及网址链接，并加盖投标人公章。若提供第②点证明材料，须承诺供货时提供第①点的检测报告。该条款证明文件所在页码：_____页，并在所在页的证明文件中作出明显的标记(例如用红色方框标记或划圈等)以明确响应情况。】</w:t>
            </w:r>
          </w:p>
        </w:tc>
      </w:tr>
      <w:tr>
        <w:tc>
          <w:tcPr>
            <w:tcW w:type="dxa" w:w="2076"/>
          </w:tcPr>
          <w:p>
            <w:pPr>
              <w:pStyle w:val="null3"/>
            </w:pPr>
            <w:r>
              <w:rPr/>
              <w:t>▲</w:t>
            </w:r>
          </w:p>
        </w:tc>
        <w:tc>
          <w:tcPr>
            <w:tcW w:type="dxa" w:w="415"/>
          </w:tcPr>
          <w:p>
            <w:pPr>
              <w:pStyle w:val="null3"/>
            </w:pPr>
            <w:r>
              <w:rPr/>
              <w:t>16</w:t>
            </w:r>
          </w:p>
        </w:tc>
        <w:tc>
          <w:tcPr>
            <w:tcW w:type="dxa" w:w="5814"/>
          </w:tcPr>
          <w:p>
            <w:pPr>
              <w:pStyle w:val="null3"/>
            </w:pPr>
            <w:r>
              <w:rPr/>
              <w:t>13)文件对库数据采集：系统满足文件对库之间进行数据交换每秒处理速度≥20万条的性能效率要求。</w:t>
            </w:r>
            <w:r>
              <w:rPr>
                <w:b/>
              </w:rPr>
              <w:t>【投标文件中提供以下任意一个材料作为证明材料 :①提供具有第三方检测机构出具的带有 CMA 或 CNAS 标志的检测报告复印件，并加盖投标人公章。②提供产品官方公开的网页相应参数截图及网址链接，并加盖投标人公章。若提供第②点证明材料，须承诺供货时提供第①点的检测报告。该条款证明文件所在页码：_____页，并在所在页的证明文件中作出明显的标记(例如用红色方框标记或划圈等)以明确响应情况。】</w:t>
            </w:r>
          </w:p>
        </w:tc>
      </w:tr>
      <w:tr>
        <w:tc>
          <w:tcPr>
            <w:tcW w:type="dxa" w:w="2076"/>
          </w:tcPr>
          <w:p/>
        </w:tc>
        <w:tc>
          <w:tcPr>
            <w:tcW w:type="dxa" w:w="415"/>
          </w:tcPr>
          <w:p>
            <w:pPr>
              <w:pStyle w:val="null3"/>
            </w:pPr>
            <w:r>
              <w:rPr/>
              <w:t>17</w:t>
            </w:r>
          </w:p>
        </w:tc>
        <w:tc>
          <w:tcPr>
            <w:tcW w:type="dxa" w:w="5814"/>
          </w:tcPr>
          <w:p>
            <w:pPr>
              <w:pStyle w:val="null3"/>
            </w:pPr>
            <w:r>
              <w:rPr/>
              <w:t>4.数据开发</w:t>
            </w:r>
          </w:p>
          <w:p>
            <w:pPr>
              <w:pStyle w:val="null3"/>
            </w:pPr>
            <w:r>
              <w:rPr/>
              <w:t>1)支持全托管的数据开发流程调度，可随时管理所有数据开发流程。提供丰富的流程操作功能，包括流程的导入导出、批量上下线。支持流程的历史版本管控，随时可回退到历史任意版本，快速恢复流程。支持回收站功能，删除后的流程进入回收站，可一键恢复回收站的流程避免误删除。</w:t>
            </w:r>
          </w:p>
        </w:tc>
      </w:tr>
      <w:tr>
        <w:tc>
          <w:tcPr>
            <w:tcW w:type="dxa" w:w="2076"/>
          </w:tcPr>
          <w:p/>
        </w:tc>
        <w:tc>
          <w:tcPr>
            <w:tcW w:type="dxa" w:w="415"/>
          </w:tcPr>
          <w:p>
            <w:pPr>
              <w:pStyle w:val="null3"/>
            </w:pPr>
            <w:r>
              <w:rPr/>
              <w:t>18</w:t>
            </w:r>
          </w:p>
        </w:tc>
        <w:tc>
          <w:tcPr>
            <w:tcW w:type="dxa" w:w="5814"/>
          </w:tcPr>
          <w:p>
            <w:pPr>
              <w:pStyle w:val="null3"/>
            </w:pPr>
            <w:r>
              <w:rPr/>
              <w:t>2)支持开启或关闭记录错误记录，开启后流程运行日志中则可查看传输错误记录并提供异常日志。</w:t>
            </w:r>
          </w:p>
        </w:tc>
      </w:tr>
      <w:tr>
        <w:tc>
          <w:tcPr>
            <w:tcW w:type="dxa" w:w="2076"/>
          </w:tcPr>
          <w:p/>
        </w:tc>
        <w:tc>
          <w:tcPr>
            <w:tcW w:type="dxa" w:w="415"/>
          </w:tcPr>
          <w:p>
            <w:pPr>
              <w:pStyle w:val="null3"/>
            </w:pPr>
            <w:r>
              <w:rPr/>
              <w:t>19</w:t>
            </w:r>
          </w:p>
        </w:tc>
        <w:tc>
          <w:tcPr>
            <w:tcW w:type="dxa" w:w="5814"/>
          </w:tcPr>
          <w:p>
            <w:pPr>
              <w:pStyle w:val="null3"/>
            </w:pPr>
            <w:r>
              <w:rPr/>
              <w:t>3)支持可视化的图形开发界面，以DAG图方式编排任务。提供各种丰富的数据开发处理组件，通过对组件和任务的简单拖拽配置，即可完成复杂的数据计算、工作流设计和任务编排。同时流程运行提供多种运行策略，包括流程失败策略、执行策略、流程优先级、全局变量，满足各种场景要求。</w:t>
            </w:r>
          </w:p>
        </w:tc>
      </w:tr>
      <w:tr>
        <w:tc>
          <w:tcPr>
            <w:tcW w:type="dxa" w:w="2076"/>
          </w:tcPr>
          <w:p/>
        </w:tc>
        <w:tc>
          <w:tcPr>
            <w:tcW w:type="dxa" w:w="415"/>
          </w:tcPr>
          <w:p>
            <w:pPr>
              <w:pStyle w:val="null3"/>
            </w:pPr>
            <w:r>
              <w:rPr/>
              <w:t>20</w:t>
            </w:r>
          </w:p>
        </w:tc>
        <w:tc>
          <w:tcPr>
            <w:tcW w:type="dxa" w:w="5814"/>
          </w:tcPr>
          <w:p>
            <w:pPr>
              <w:pStyle w:val="null3"/>
            </w:pPr>
            <w:r>
              <w:rPr/>
              <w:t>4)支持与数据处理知识库对接，可基于数据处理知识库的内容自动生成数据清洗转换脚本以及自动完成数据字段的映射转换，大幅度减少人工配置开发流程的工作量。</w:t>
            </w:r>
          </w:p>
        </w:tc>
      </w:tr>
      <w:tr>
        <w:tc>
          <w:tcPr>
            <w:tcW w:type="dxa" w:w="2076"/>
          </w:tcPr>
          <w:p/>
        </w:tc>
        <w:tc>
          <w:tcPr>
            <w:tcW w:type="dxa" w:w="415"/>
          </w:tcPr>
          <w:p>
            <w:pPr>
              <w:pStyle w:val="null3"/>
            </w:pPr>
            <w:r>
              <w:rPr/>
              <w:t>21</w:t>
            </w:r>
          </w:p>
        </w:tc>
        <w:tc>
          <w:tcPr>
            <w:tcW w:type="dxa" w:w="5814"/>
          </w:tcPr>
          <w:p>
            <w:pPr>
              <w:pStyle w:val="null3"/>
            </w:pPr>
            <w:r>
              <w:rPr/>
              <w:t>5)内置数据入湖组件、数据入仓组件，使数据集成、清洗转换工作轻量化。入湖组件可直接引用同步任务做流程编排。入仓组件提供数据清洗转换关系的检查及血缘查看，提供自动计算增量变更数据写入目标表，以及自动记录变更数据生成历史拉链表，避免全表备份从而减少数据存储空间。</w:t>
            </w:r>
          </w:p>
        </w:tc>
      </w:tr>
      <w:tr>
        <w:tc>
          <w:tcPr>
            <w:tcW w:type="dxa" w:w="2076"/>
          </w:tcPr>
          <w:p/>
        </w:tc>
        <w:tc>
          <w:tcPr>
            <w:tcW w:type="dxa" w:w="415"/>
          </w:tcPr>
          <w:p>
            <w:pPr>
              <w:pStyle w:val="null3"/>
            </w:pPr>
            <w:r>
              <w:rPr/>
              <w:t>22</w:t>
            </w:r>
          </w:p>
        </w:tc>
        <w:tc>
          <w:tcPr>
            <w:tcW w:type="dxa" w:w="5814"/>
          </w:tcPr>
          <w:p>
            <w:pPr>
              <w:pStyle w:val="null3"/>
            </w:pPr>
            <w:r>
              <w:rPr/>
              <w:t>6)内置数据交换组件，包括数据抽取组件、数据加载组件。数据抽取组件支持表单模式和SQL模式读取源头数据，快速完成数据读取工作。数据加载组件支持多种写入配置，包括计算增量数据写入、添加数据变更标记和变更时间戳，以及数据抽取和加载过程中均支持数据转换规则的配置，实现数据传输过程中快速实现数据转换。</w:t>
            </w:r>
          </w:p>
        </w:tc>
      </w:tr>
      <w:tr>
        <w:tc>
          <w:tcPr>
            <w:tcW w:type="dxa" w:w="2076"/>
          </w:tcPr>
          <w:p/>
        </w:tc>
        <w:tc>
          <w:tcPr>
            <w:tcW w:type="dxa" w:w="415"/>
          </w:tcPr>
          <w:p>
            <w:pPr>
              <w:pStyle w:val="null3"/>
            </w:pPr>
            <w:r>
              <w:rPr/>
              <w:t>23</w:t>
            </w:r>
          </w:p>
        </w:tc>
        <w:tc>
          <w:tcPr>
            <w:tcW w:type="dxa" w:w="5814"/>
          </w:tcPr>
          <w:p>
            <w:pPr>
              <w:pStyle w:val="null3"/>
            </w:pPr>
            <w:r>
              <w:rPr/>
              <w:t>7)内置文件集成组件，提供快速引用文件集成任务构建数据编排流程。</w:t>
            </w:r>
          </w:p>
        </w:tc>
      </w:tr>
      <w:tr>
        <w:tc>
          <w:tcPr>
            <w:tcW w:type="dxa" w:w="2076"/>
          </w:tcPr>
          <w:p/>
        </w:tc>
        <w:tc>
          <w:tcPr>
            <w:tcW w:type="dxa" w:w="415"/>
          </w:tcPr>
          <w:p>
            <w:pPr>
              <w:pStyle w:val="null3"/>
            </w:pPr>
            <w:r>
              <w:rPr/>
              <w:t>24</w:t>
            </w:r>
          </w:p>
        </w:tc>
        <w:tc>
          <w:tcPr>
            <w:tcW w:type="dxa" w:w="5814"/>
          </w:tcPr>
          <w:p>
            <w:pPr>
              <w:pStyle w:val="null3"/>
            </w:pPr>
            <w:r>
              <w:rPr/>
              <w:t>8)内置网络组件，包括API集成组件、API推送组件，向导式配置完成API的对接处理，同时支持快速引用API接口库的API做数据编排流程。</w:t>
            </w:r>
          </w:p>
        </w:tc>
      </w:tr>
      <w:tr>
        <w:tc>
          <w:tcPr>
            <w:tcW w:type="dxa" w:w="2076"/>
          </w:tcPr>
          <w:p/>
        </w:tc>
        <w:tc>
          <w:tcPr>
            <w:tcW w:type="dxa" w:w="415"/>
          </w:tcPr>
          <w:p>
            <w:pPr>
              <w:pStyle w:val="null3"/>
            </w:pPr>
            <w:r>
              <w:rPr/>
              <w:t>25</w:t>
            </w:r>
          </w:p>
        </w:tc>
        <w:tc>
          <w:tcPr>
            <w:tcW w:type="dxa" w:w="5814"/>
          </w:tcPr>
          <w:p>
            <w:pPr>
              <w:pStyle w:val="null3"/>
            </w:pPr>
            <w:r>
              <w:rPr/>
              <w:t>9)内置脚本开发组件，包括SQL开发组件、存储过程组件、Hive SQL组件、Spark SQL组件、python组件，可以对数据进行离线计算处理。</w:t>
            </w:r>
          </w:p>
        </w:tc>
      </w:tr>
      <w:tr>
        <w:tc>
          <w:tcPr>
            <w:tcW w:type="dxa" w:w="2076"/>
          </w:tcPr>
          <w:p/>
        </w:tc>
        <w:tc>
          <w:tcPr>
            <w:tcW w:type="dxa" w:w="415"/>
          </w:tcPr>
          <w:p>
            <w:pPr>
              <w:pStyle w:val="null3"/>
            </w:pPr>
            <w:r>
              <w:rPr/>
              <w:t>26</w:t>
            </w:r>
          </w:p>
        </w:tc>
        <w:tc>
          <w:tcPr>
            <w:tcW w:type="dxa" w:w="5814"/>
          </w:tcPr>
          <w:p>
            <w:pPr>
              <w:pStyle w:val="null3"/>
            </w:pPr>
            <w:r>
              <w:rPr/>
              <w:t>10)内置清洗转换组件，包括值映射、去除重复记录、字符串/缺省值替换、字段拆分多行组件。</w:t>
            </w:r>
          </w:p>
        </w:tc>
      </w:tr>
      <w:tr>
        <w:tc>
          <w:tcPr>
            <w:tcW w:type="dxa" w:w="2076"/>
          </w:tcPr>
          <w:p/>
        </w:tc>
        <w:tc>
          <w:tcPr>
            <w:tcW w:type="dxa" w:w="415"/>
          </w:tcPr>
          <w:p>
            <w:pPr>
              <w:pStyle w:val="null3"/>
            </w:pPr>
            <w:r>
              <w:rPr/>
              <w:t>27</w:t>
            </w:r>
          </w:p>
        </w:tc>
        <w:tc>
          <w:tcPr>
            <w:tcW w:type="dxa" w:w="5814"/>
          </w:tcPr>
          <w:p>
            <w:pPr>
              <w:pStyle w:val="null3"/>
            </w:pPr>
            <w:r>
              <w:rPr/>
              <w:t>11)内置流程控制组件，包括子流程组件、条件判断组件、选择组件。</w:t>
            </w:r>
          </w:p>
        </w:tc>
      </w:tr>
      <w:tr>
        <w:tc>
          <w:tcPr>
            <w:tcW w:type="dxa" w:w="2076"/>
          </w:tcPr>
          <w:p/>
        </w:tc>
        <w:tc>
          <w:tcPr>
            <w:tcW w:type="dxa" w:w="415"/>
          </w:tcPr>
          <w:p>
            <w:pPr>
              <w:pStyle w:val="null3"/>
            </w:pPr>
            <w:r>
              <w:rPr/>
              <w:t>28</w:t>
            </w:r>
          </w:p>
        </w:tc>
        <w:tc>
          <w:tcPr>
            <w:tcW w:type="dxa" w:w="5814"/>
          </w:tcPr>
          <w:p>
            <w:pPr>
              <w:pStyle w:val="null3"/>
            </w:pPr>
            <w:r>
              <w:rPr/>
              <w:t>12)支持实时开发，对数据进行实时计算，提供可视化的图形开发界面及实时流处理组件。</w:t>
            </w:r>
          </w:p>
        </w:tc>
      </w:tr>
      <w:tr>
        <w:tc>
          <w:tcPr>
            <w:tcW w:type="dxa" w:w="2076"/>
          </w:tcPr>
          <w:p/>
        </w:tc>
        <w:tc>
          <w:tcPr>
            <w:tcW w:type="dxa" w:w="415"/>
          </w:tcPr>
          <w:p>
            <w:pPr>
              <w:pStyle w:val="null3"/>
            </w:pPr>
            <w:r>
              <w:rPr/>
              <w:t>29</w:t>
            </w:r>
          </w:p>
        </w:tc>
        <w:tc>
          <w:tcPr>
            <w:tcW w:type="dxa" w:w="5814"/>
          </w:tcPr>
          <w:p>
            <w:pPr>
              <w:pStyle w:val="null3"/>
            </w:pPr>
            <w:r>
              <w:rPr/>
              <w:t>13)内置实时输入组件，支持多种数据库类型的数据实时输入，提供配置页面快速完成实时输入任务配置。</w:t>
            </w:r>
          </w:p>
        </w:tc>
      </w:tr>
      <w:tr>
        <w:tc>
          <w:tcPr>
            <w:tcW w:type="dxa" w:w="2076"/>
          </w:tcPr>
          <w:p/>
        </w:tc>
        <w:tc>
          <w:tcPr>
            <w:tcW w:type="dxa" w:w="415"/>
          </w:tcPr>
          <w:p>
            <w:pPr>
              <w:pStyle w:val="null3"/>
            </w:pPr>
            <w:r>
              <w:rPr/>
              <w:t>30</w:t>
            </w:r>
          </w:p>
        </w:tc>
        <w:tc>
          <w:tcPr>
            <w:tcW w:type="dxa" w:w="5814"/>
          </w:tcPr>
          <w:p>
            <w:pPr>
              <w:pStyle w:val="null3"/>
            </w:pPr>
            <w:r>
              <w:rPr/>
              <w:t>14)内置实时输出组件，支持多种数据库类型的数据实时输出，提供配置页面快速完成实时输出任务配置。</w:t>
            </w:r>
          </w:p>
        </w:tc>
      </w:tr>
      <w:tr>
        <w:tc>
          <w:tcPr>
            <w:tcW w:type="dxa" w:w="2076"/>
          </w:tcPr>
          <w:p/>
        </w:tc>
        <w:tc>
          <w:tcPr>
            <w:tcW w:type="dxa" w:w="415"/>
          </w:tcPr>
          <w:p>
            <w:pPr>
              <w:pStyle w:val="null3"/>
            </w:pPr>
            <w:r>
              <w:rPr/>
              <w:t>31</w:t>
            </w:r>
          </w:p>
        </w:tc>
        <w:tc>
          <w:tcPr>
            <w:tcW w:type="dxa" w:w="5814"/>
          </w:tcPr>
          <w:p>
            <w:pPr>
              <w:pStyle w:val="null3"/>
            </w:pPr>
            <w:r>
              <w:rPr/>
              <w:t>15)内置流开发组件，包括实时入仓组件、Flink SQL组件和Flink jar组件。实时入仓组件提供数据清洗转换关系的检查及血缘查看；Flink SQL组件提供自定义SQL开发，Flink jar组件支持用户自定义上传jar任务包，满足开发人员对开发的高灵活性、精细化需求。</w:t>
            </w:r>
          </w:p>
        </w:tc>
      </w:tr>
      <w:tr>
        <w:tc>
          <w:tcPr>
            <w:tcW w:type="dxa" w:w="2076"/>
          </w:tcPr>
          <w:p/>
        </w:tc>
        <w:tc>
          <w:tcPr>
            <w:tcW w:type="dxa" w:w="415"/>
          </w:tcPr>
          <w:p>
            <w:pPr>
              <w:pStyle w:val="null3"/>
            </w:pPr>
            <w:r>
              <w:rPr/>
              <w:t>32</w:t>
            </w:r>
          </w:p>
        </w:tc>
        <w:tc>
          <w:tcPr>
            <w:tcW w:type="dxa" w:w="5814"/>
          </w:tcPr>
          <w:p>
            <w:pPr>
              <w:pStyle w:val="null3"/>
            </w:pPr>
            <w:r>
              <w:rPr/>
              <w:t>16)内置流处理组件，包括字符串替换组件、值映射组件和自定义转换器。</w:t>
            </w:r>
          </w:p>
        </w:tc>
      </w:tr>
      <w:tr>
        <w:tc>
          <w:tcPr>
            <w:tcW w:type="dxa" w:w="2076"/>
          </w:tcPr>
          <w:p/>
        </w:tc>
        <w:tc>
          <w:tcPr>
            <w:tcW w:type="dxa" w:w="415"/>
          </w:tcPr>
          <w:p>
            <w:pPr>
              <w:pStyle w:val="null3"/>
            </w:pPr>
            <w:r>
              <w:rPr/>
              <w:t>33</w:t>
            </w:r>
          </w:p>
        </w:tc>
        <w:tc>
          <w:tcPr>
            <w:tcW w:type="dxa" w:w="5814"/>
          </w:tcPr>
          <w:p>
            <w:pPr>
              <w:pStyle w:val="null3"/>
            </w:pPr>
            <w:r>
              <w:rPr/>
              <w:t>5.运维监控</w:t>
            </w:r>
          </w:p>
          <w:p>
            <w:pPr>
              <w:pStyle w:val="null3"/>
            </w:pPr>
            <w:r>
              <w:rPr/>
              <w:t>1)提供流程监控，包括离线流程监控和实时流程监控，支持总览视角查看所有流程的综合情况，包括今日运行良好率、今日运行数/计划运行数、今日失败流程数/实例数、今日同步数据量、流程总数和已接入数据源统计。支持流程运行的调度分布情况统计图和任务类型分布图展示。支持各类排名统计，包括运行失败TOP10、高耗时TOP10、调度延迟TOP10、大数据量流程TOP10。</w:t>
            </w:r>
          </w:p>
        </w:tc>
      </w:tr>
      <w:tr>
        <w:tc>
          <w:tcPr>
            <w:tcW w:type="dxa" w:w="2076"/>
          </w:tcPr>
          <w:p/>
        </w:tc>
        <w:tc>
          <w:tcPr>
            <w:tcW w:type="dxa" w:w="415"/>
          </w:tcPr>
          <w:p>
            <w:pPr>
              <w:pStyle w:val="null3"/>
            </w:pPr>
            <w:r>
              <w:rPr/>
              <w:t>34</w:t>
            </w:r>
          </w:p>
        </w:tc>
        <w:tc>
          <w:tcPr>
            <w:tcW w:type="dxa" w:w="5814"/>
          </w:tcPr>
          <w:p>
            <w:pPr>
              <w:pStyle w:val="null3"/>
            </w:pPr>
            <w:r>
              <w:rPr/>
              <w:t>2)支持对流程运行的所有实例记录查看与检索，可查看详细运行日志以及可下钻具体查看流程下所有任务实例的编排及运行详情。</w:t>
            </w:r>
          </w:p>
        </w:tc>
      </w:tr>
      <w:tr>
        <w:tc>
          <w:tcPr>
            <w:tcW w:type="dxa" w:w="2076"/>
          </w:tcPr>
          <w:p/>
        </w:tc>
        <w:tc>
          <w:tcPr>
            <w:tcW w:type="dxa" w:w="415"/>
          </w:tcPr>
          <w:p>
            <w:pPr>
              <w:pStyle w:val="null3"/>
            </w:pPr>
            <w:r>
              <w:rPr/>
              <w:t>35</w:t>
            </w:r>
          </w:p>
        </w:tc>
        <w:tc>
          <w:tcPr>
            <w:tcW w:type="dxa" w:w="5814"/>
          </w:tcPr>
          <w:p>
            <w:pPr>
              <w:pStyle w:val="null3"/>
            </w:pPr>
            <w:r>
              <w:rPr/>
              <w:t>3)支持流程调度监控，以日历的方式展示所有流程执行的信息，以及可查看所有流程调度运行的时间分布。</w:t>
            </w:r>
          </w:p>
        </w:tc>
      </w:tr>
      <w:tr>
        <w:tc>
          <w:tcPr>
            <w:tcW w:type="dxa" w:w="2076"/>
          </w:tcPr>
          <w:p/>
        </w:tc>
        <w:tc>
          <w:tcPr>
            <w:tcW w:type="dxa" w:w="415"/>
          </w:tcPr>
          <w:p>
            <w:pPr>
              <w:pStyle w:val="null3"/>
            </w:pPr>
            <w:r>
              <w:rPr/>
              <w:t>36</w:t>
            </w:r>
          </w:p>
        </w:tc>
        <w:tc>
          <w:tcPr>
            <w:tcW w:type="dxa" w:w="5814"/>
          </w:tcPr>
          <w:p>
            <w:pPr>
              <w:pStyle w:val="null3"/>
            </w:pPr>
            <w:r>
              <w:rPr/>
              <w:t>4)支持集群资源监控，对平台集群及相关组件的运行性能监控，包括主节点和从节点的CPU使用率、内存使用率和磁盘使用率。</w:t>
            </w:r>
          </w:p>
        </w:tc>
      </w:tr>
      <w:tr>
        <w:tc>
          <w:tcPr>
            <w:tcW w:type="dxa" w:w="2076"/>
          </w:tcPr>
          <w:p/>
        </w:tc>
        <w:tc>
          <w:tcPr>
            <w:tcW w:type="dxa" w:w="415"/>
          </w:tcPr>
          <w:p>
            <w:pPr>
              <w:pStyle w:val="null3"/>
            </w:pPr>
            <w:r>
              <w:rPr/>
              <w:t>37</w:t>
            </w:r>
          </w:p>
        </w:tc>
        <w:tc>
          <w:tcPr>
            <w:tcW w:type="dxa" w:w="5814"/>
          </w:tcPr>
          <w:p>
            <w:pPr>
              <w:pStyle w:val="null3"/>
            </w:pPr>
            <w:r>
              <w:rPr/>
              <w:t>5)支持智能监控告警，提供设置监控规则的功能，用户可以设置监控规则对流程任务运行异常情况作监控告警，支持实时告警和定期简报，以及告警等级和可选择需要告警的流程等配置，下发通知相关人员及时处理。支持告警历史记录的在线查看。</w:t>
            </w:r>
          </w:p>
        </w:tc>
      </w:tr>
      <w:tr>
        <w:tc>
          <w:tcPr>
            <w:tcW w:type="dxa" w:w="2076"/>
          </w:tcPr>
          <w:p/>
        </w:tc>
        <w:tc>
          <w:tcPr>
            <w:tcW w:type="dxa" w:w="415"/>
          </w:tcPr>
          <w:p>
            <w:pPr>
              <w:pStyle w:val="null3"/>
            </w:pPr>
            <w:r>
              <w:rPr/>
              <w:t>38</w:t>
            </w:r>
          </w:p>
        </w:tc>
        <w:tc>
          <w:tcPr>
            <w:tcW w:type="dxa" w:w="5814"/>
          </w:tcPr>
          <w:p>
            <w:pPr>
              <w:pStyle w:val="null3"/>
            </w:pPr>
            <w:r>
              <w:rPr/>
              <w:t>6.系统管理</w:t>
            </w:r>
          </w:p>
          <w:p>
            <w:pPr>
              <w:pStyle w:val="null3"/>
            </w:pPr>
            <w:r>
              <w:rPr/>
              <w:t>1)支持调度策略管理，对所有数据开发的流程调度做集中式配置和管理，支持分钟、小时、天、周和月等多种调度周期。</w:t>
            </w:r>
          </w:p>
        </w:tc>
      </w:tr>
      <w:tr>
        <w:tc>
          <w:tcPr>
            <w:tcW w:type="dxa" w:w="2076"/>
          </w:tcPr>
          <w:p/>
        </w:tc>
        <w:tc>
          <w:tcPr>
            <w:tcW w:type="dxa" w:w="415"/>
          </w:tcPr>
          <w:p>
            <w:pPr>
              <w:pStyle w:val="null3"/>
            </w:pPr>
            <w:r>
              <w:rPr/>
              <w:t>39</w:t>
            </w:r>
          </w:p>
        </w:tc>
        <w:tc>
          <w:tcPr>
            <w:tcW w:type="dxa" w:w="5814"/>
          </w:tcPr>
          <w:p>
            <w:pPr>
              <w:pStyle w:val="null3"/>
            </w:pPr>
            <w:r>
              <w:rPr/>
              <w:t>2)支持任务组管理，可配置任务组的资源容量来管理流程运行队列。</w:t>
            </w:r>
          </w:p>
        </w:tc>
      </w:tr>
      <w:tr>
        <w:tc>
          <w:tcPr>
            <w:tcW w:type="dxa" w:w="2076"/>
          </w:tcPr>
          <w:p/>
        </w:tc>
        <w:tc>
          <w:tcPr>
            <w:tcW w:type="dxa" w:w="415"/>
          </w:tcPr>
          <w:p>
            <w:pPr>
              <w:pStyle w:val="null3"/>
            </w:pPr>
            <w:r>
              <w:rPr/>
              <w:t>40</w:t>
            </w:r>
          </w:p>
        </w:tc>
        <w:tc>
          <w:tcPr>
            <w:tcW w:type="dxa" w:w="5814"/>
          </w:tcPr>
          <w:p>
            <w:pPr>
              <w:pStyle w:val="null3"/>
            </w:pPr>
            <w:r>
              <w:rPr/>
              <w:t>3)支持数据开发计算过程中的所有函数管理，包括离线数计算函数和实时计算函数，提供自定义添加函数。</w:t>
            </w:r>
          </w:p>
        </w:tc>
      </w:tr>
      <w:tr>
        <w:tc>
          <w:tcPr>
            <w:tcW w:type="dxa" w:w="2076"/>
          </w:tcPr>
          <w:p/>
        </w:tc>
        <w:tc>
          <w:tcPr>
            <w:tcW w:type="dxa" w:w="415"/>
          </w:tcPr>
          <w:p>
            <w:pPr>
              <w:pStyle w:val="null3"/>
            </w:pPr>
            <w:r>
              <w:rPr/>
              <w:t>41</w:t>
            </w:r>
          </w:p>
        </w:tc>
        <w:tc>
          <w:tcPr>
            <w:tcW w:type="dxa" w:w="5814"/>
          </w:tcPr>
          <w:p>
            <w:pPr>
              <w:pStyle w:val="null3"/>
            </w:pPr>
            <w:r>
              <w:rPr/>
              <w:t>4)支持数据同步过程中的数据转换规则管理，内置常用的替换、数据加解密转换规则，同时提供自定义编写代码方式配置转换规则。</w:t>
            </w:r>
          </w:p>
        </w:tc>
      </w:tr>
      <w:tr>
        <w:tc>
          <w:tcPr>
            <w:tcW w:type="dxa" w:w="2076"/>
          </w:tcPr>
          <w:p/>
        </w:tc>
        <w:tc>
          <w:tcPr>
            <w:tcW w:type="dxa" w:w="415"/>
          </w:tcPr>
          <w:p>
            <w:pPr>
              <w:pStyle w:val="null3"/>
            </w:pPr>
            <w:r>
              <w:rPr/>
              <w:t>42</w:t>
            </w:r>
          </w:p>
        </w:tc>
        <w:tc>
          <w:tcPr>
            <w:tcW w:type="dxa" w:w="5814"/>
          </w:tcPr>
          <w:p>
            <w:pPr>
              <w:pStyle w:val="null3"/>
            </w:pPr>
            <w:r>
              <w:rPr/>
              <w:t>5)支持对平台的基本设置项的配置，包括logo，学校名称、系统名称等。</w:t>
            </w:r>
          </w:p>
        </w:tc>
      </w:tr>
      <w:tr>
        <w:tc>
          <w:tcPr>
            <w:tcW w:type="dxa" w:w="2076"/>
          </w:tcPr>
          <w:p/>
        </w:tc>
        <w:tc>
          <w:tcPr>
            <w:tcW w:type="dxa" w:w="415"/>
          </w:tcPr>
          <w:p>
            <w:pPr>
              <w:pStyle w:val="null3"/>
            </w:pPr>
            <w:r>
              <w:rPr/>
              <w:t>43</w:t>
            </w:r>
          </w:p>
        </w:tc>
        <w:tc>
          <w:tcPr>
            <w:tcW w:type="dxa" w:w="5814"/>
          </w:tcPr>
          <w:p>
            <w:pPr>
              <w:pStyle w:val="null3"/>
            </w:pPr>
            <w:r>
              <w:rPr/>
              <w:t>6)支持记录平台的操作详情，包括用户账号、浏览器类型、访问IP、登录时间、操作次数、操作详情等。</w:t>
            </w:r>
          </w:p>
        </w:tc>
      </w:tr>
      <w:tr>
        <w:tc>
          <w:tcPr>
            <w:tcW w:type="dxa" w:w="2076"/>
          </w:tcPr>
          <w:p/>
        </w:tc>
        <w:tc>
          <w:tcPr>
            <w:tcW w:type="dxa" w:w="415"/>
          </w:tcPr>
          <w:p>
            <w:pPr>
              <w:pStyle w:val="null3"/>
            </w:pPr>
            <w:r>
              <w:rPr/>
              <w:t>44</w:t>
            </w:r>
          </w:p>
        </w:tc>
        <w:tc>
          <w:tcPr>
            <w:tcW w:type="dxa" w:w="5814"/>
          </w:tcPr>
          <w:p>
            <w:pPr>
              <w:pStyle w:val="null3"/>
            </w:pPr>
            <w:r>
              <w:rPr/>
              <w:t>7)支持查看系统历史版本迭代记录。</w:t>
            </w:r>
          </w:p>
        </w:tc>
      </w:tr>
      <w:tr>
        <w:tc>
          <w:tcPr>
            <w:tcW w:type="dxa" w:w="2076"/>
          </w:tcPr>
          <w:p>
            <w:pPr>
              <w:pStyle w:val="null3"/>
            </w:pPr>
            <w:r>
              <w:rPr/>
              <w:t>说明</w:t>
            </w:r>
          </w:p>
        </w:tc>
        <w:tc>
          <w:tcPr>
            <w:tcW w:type="dxa" w:w="6229"/>
            <w:gridSpan w:val="2"/>
          </w:tcPr>
          <w:p>
            <w:pPr>
              <w:pStyle w:val="null3"/>
              <w:jc w:val="left"/>
            </w:pPr>
            <w:r>
              <w:rPr/>
              <w:t xml:space="preserve"> 打“★”号条款为实质性条款，若有任何一条负偏离或不满足则导致投标无效。 </w:t>
            </w:r>
            <w:r>
              <w:br/>
            </w:r>
            <w:r>
              <w:rPr/>
              <w:t>打“▲”号条款为重要技术参数，若有部分“▲”条款未响应或不满足，不作为无效投标条款。</w:t>
            </w:r>
          </w:p>
        </w:tc>
      </w:tr>
    </w:tbl>
    <w:p>
      <w:pPr>
        <w:pStyle w:val="null3"/>
      </w:pPr>
      <w:r>
        <w:rPr>
          <w:b/>
        </w:rPr>
        <w:t>附表</w:t>
      </w:r>
      <w:r>
        <w:rPr>
          <w:b/>
        </w:rPr>
        <w:t>七</w:t>
      </w:r>
      <w:r>
        <w:rPr>
          <w:b/>
        </w:rPr>
        <w:t>：</w:t>
      </w:r>
      <w:r>
        <w:rPr>
          <w:b/>
        </w:rPr>
        <w:t>数据质量</w:t>
      </w:r>
    </w:p>
    <w:tbl>
      <w:tblPr>
        <w:tblW w:w="0" w:type="auto"/>
        <w:tblBorders>
          <w:top w:val="single"/>
          <w:left w:val="single"/>
          <w:bottom w:val="single"/>
          <w:right w:val="single"/>
          <w:insideH w:val="single"/>
          <w:insideV w:val="single"/>
        </w:tblBorders>
      </w:tblPr>
      <w:tblGrid>
        <w:gridCol w:w="2076"/>
        <w:gridCol w:w="415"/>
        <w:gridCol w:w="5814"/>
      </w:tblGrid>
      <w:tr>
        <w:tc>
          <w:tcPr>
            <w:tcW w:type="dxa" w:w="2076"/>
          </w:tcPr>
          <w:p>
            <w:pPr>
              <w:pStyle w:val="null3"/>
            </w:pPr>
            <w:r>
              <w:rPr/>
              <w:t>参数性质</w:t>
            </w:r>
          </w:p>
        </w:tc>
        <w:tc>
          <w:tcPr>
            <w:tcW w:type="dxa" w:w="415"/>
          </w:tcPr>
          <w:p>
            <w:pPr>
              <w:pStyle w:val="null3"/>
            </w:pPr>
            <w:r>
              <w:rPr/>
              <w:t>序号</w:t>
            </w:r>
          </w:p>
        </w:tc>
        <w:tc>
          <w:tcPr>
            <w:tcW w:type="dxa" w:w="5814"/>
          </w:tcPr>
          <w:p>
            <w:pPr>
              <w:pStyle w:val="null3"/>
            </w:pPr>
            <w:r>
              <w:rPr/>
              <w:t>具体技术(参数)要求</w:t>
            </w:r>
          </w:p>
        </w:tc>
      </w:tr>
      <w:tr>
        <w:tc>
          <w:tcPr>
            <w:tcW w:type="dxa" w:w="2076"/>
          </w:tcPr>
          <w:p/>
        </w:tc>
        <w:tc>
          <w:tcPr>
            <w:tcW w:type="dxa" w:w="415"/>
          </w:tcPr>
          <w:p>
            <w:pPr>
              <w:pStyle w:val="null3"/>
            </w:pPr>
            <w:r>
              <w:rPr/>
              <w:t>1</w:t>
            </w:r>
          </w:p>
        </w:tc>
        <w:tc>
          <w:tcPr>
            <w:tcW w:type="dxa" w:w="5814"/>
          </w:tcPr>
          <w:p>
            <w:pPr>
              <w:pStyle w:val="null3"/>
            </w:pPr>
            <w:r>
              <w:rPr/>
              <w:t>1.以数据标准、业务需求为导向，将质量评估、质量检核、质量整改与质量报告等工作环节进行流程整合，一站式提供数据全生命周期的数据质量监控服务，形成完整的、合理的数据质量管理闭环。</w:t>
            </w:r>
          </w:p>
        </w:tc>
      </w:tr>
      <w:tr>
        <w:tc>
          <w:tcPr>
            <w:tcW w:type="dxa" w:w="2076"/>
          </w:tcPr>
          <w:p/>
        </w:tc>
        <w:tc>
          <w:tcPr>
            <w:tcW w:type="dxa" w:w="415"/>
          </w:tcPr>
          <w:p>
            <w:pPr>
              <w:pStyle w:val="null3"/>
            </w:pPr>
            <w:r>
              <w:rPr/>
              <w:t>2</w:t>
            </w:r>
          </w:p>
        </w:tc>
        <w:tc>
          <w:tcPr>
            <w:tcW w:type="dxa" w:w="5814"/>
          </w:tcPr>
          <w:p>
            <w:pPr>
              <w:pStyle w:val="null3"/>
            </w:pPr>
            <w:r>
              <w:rPr/>
              <w:t>2.数据质量规则的构建主要分为常规规则、自定义规则和质量维度规则的创建。常规规则包括正则、非空、值域、数据范围四个常规质量属性；质量维度规则则从完整性、规范性、一致性、时效性、准确性、唯一性六大质量维度为出发点，以多角度、跨业务、长时间轴等为维度而创建；自定义规则配置为满足学校各种业务复杂场景，以质量报告形式反映业务系统现状，充分评估当前学校数据整体质量情况，可定位细粒度的数据质量问题，形成质量问题工单，工单自动下发给数据生产部门，方便业务部门根据工单修正和整改数据问题。</w:t>
            </w:r>
          </w:p>
        </w:tc>
      </w:tr>
      <w:tr>
        <w:tc>
          <w:tcPr>
            <w:tcW w:type="dxa" w:w="2076"/>
          </w:tcPr>
          <w:p>
            <w:pPr>
              <w:pStyle w:val="null3"/>
            </w:pPr>
            <w:r>
              <w:rPr/>
              <w:t>说明</w:t>
            </w:r>
          </w:p>
        </w:tc>
        <w:tc>
          <w:tcPr>
            <w:tcW w:type="dxa" w:w="6229"/>
            <w:gridSpan w:val="2"/>
          </w:tcPr>
          <w:p>
            <w:pPr>
              <w:pStyle w:val="null3"/>
              <w:jc w:val="left"/>
            </w:pPr>
            <w:r>
              <w:rPr/>
              <w:t xml:space="preserve"> 打“★”号条款为实质性条款，若有任何一条负偏离或不满足则导致投标无效。 </w:t>
            </w:r>
            <w:r>
              <w:br/>
            </w:r>
            <w:r>
              <w:rPr/>
              <w:t>打“▲”号条款为重要技术参数，若有部分“▲”条款未响应或不满足，不作为无效投标条款。</w:t>
            </w:r>
          </w:p>
        </w:tc>
      </w:tr>
    </w:tbl>
    <w:p>
      <w:pPr>
        <w:pStyle w:val="null3"/>
      </w:pPr>
      <w:r>
        <w:rPr>
          <w:b/>
        </w:rPr>
        <w:t>附表</w:t>
      </w:r>
      <w:r>
        <w:rPr>
          <w:b/>
        </w:rPr>
        <w:t>八</w:t>
      </w:r>
      <w:r>
        <w:rPr>
          <w:b/>
        </w:rPr>
        <w:t>：</w:t>
      </w:r>
      <w:r>
        <w:rPr>
          <w:b/>
        </w:rPr>
        <w:t>数据安全</w:t>
      </w:r>
    </w:p>
    <w:tbl>
      <w:tblPr>
        <w:tblW w:w="0" w:type="auto"/>
        <w:tblBorders>
          <w:top w:val="single"/>
          <w:left w:val="single"/>
          <w:bottom w:val="single"/>
          <w:right w:val="single"/>
          <w:insideH w:val="single"/>
          <w:insideV w:val="single"/>
        </w:tblBorders>
      </w:tblPr>
      <w:tblGrid>
        <w:gridCol w:w="2076"/>
        <w:gridCol w:w="415"/>
        <w:gridCol w:w="5814"/>
      </w:tblGrid>
      <w:tr>
        <w:tc>
          <w:tcPr>
            <w:tcW w:type="dxa" w:w="2076"/>
          </w:tcPr>
          <w:p>
            <w:pPr>
              <w:pStyle w:val="null3"/>
            </w:pPr>
            <w:r>
              <w:rPr/>
              <w:t>参数性质</w:t>
            </w:r>
          </w:p>
        </w:tc>
        <w:tc>
          <w:tcPr>
            <w:tcW w:type="dxa" w:w="415"/>
          </w:tcPr>
          <w:p>
            <w:pPr>
              <w:pStyle w:val="null3"/>
            </w:pPr>
            <w:r>
              <w:rPr/>
              <w:t>序号</w:t>
            </w:r>
          </w:p>
        </w:tc>
        <w:tc>
          <w:tcPr>
            <w:tcW w:type="dxa" w:w="5814"/>
          </w:tcPr>
          <w:p>
            <w:pPr>
              <w:pStyle w:val="null3"/>
            </w:pPr>
            <w:r>
              <w:rPr/>
              <w:t>具体技术(参数)要求</w:t>
            </w:r>
          </w:p>
        </w:tc>
      </w:tr>
      <w:tr>
        <w:tc>
          <w:tcPr>
            <w:tcW w:type="dxa" w:w="2076"/>
          </w:tcPr>
          <w:p/>
        </w:tc>
        <w:tc>
          <w:tcPr>
            <w:tcW w:type="dxa" w:w="415"/>
          </w:tcPr>
          <w:p>
            <w:pPr>
              <w:pStyle w:val="null3"/>
            </w:pPr>
            <w:r>
              <w:rPr/>
              <w:t>1</w:t>
            </w:r>
          </w:p>
        </w:tc>
        <w:tc>
          <w:tcPr>
            <w:tcW w:type="dxa" w:w="5814"/>
          </w:tcPr>
          <w:p>
            <w:pPr>
              <w:pStyle w:val="null3"/>
            </w:pPr>
            <w:r>
              <w:rPr/>
              <w:t>1.从业务、应用以及分析建设的视角，对数仓数据，提供重要程度分级服务，按照核心、重要、一般的，基于数据的重要等级进行数据安全等级配置，提供数据分类分级管控服务。</w:t>
            </w:r>
          </w:p>
        </w:tc>
      </w:tr>
      <w:tr>
        <w:tc>
          <w:tcPr>
            <w:tcW w:type="dxa" w:w="2076"/>
          </w:tcPr>
          <w:p>
            <w:pPr>
              <w:pStyle w:val="null3"/>
            </w:pPr>
            <w:r>
              <w:rPr/>
              <w:t>▲</w:t>
            </w:r>
          </w:p>
        </w:tc>
        <w:tc>
          <w:tcPr>
            <w:tcW w:type="dxa" w:w="415"/>
          </w:tcPr>
          <w:p>
            <w:pPr>
              <w:pStyle w:val="null3"/>
            </w:pPr>
            <w:r>
              <w:rPr/>
              <w:t>2</w:t>
            </w:r>
          </w:p>
        </w:tc>
        <w:tc>
          <w:tcPr>
            <w:tcW w:type="dxa" w:w="5814"/>
          </w:tcPr>
          <w:p>
            <w:pPr>
              <w:pStyle w:val="null3"/>
            </w:pPr>
            <w:r>
              <w:rPr/>
              <w:t>2.脱敏规则和数据加密算法管理：支持通过脱敏算法和规则名称来筛选数据，用户可以通过脱敏算法和规则名称快速定位所需数据，在查看脱敏算法方面，系统支持多种遮盖脱敏方式，如保留前n后n、保留自x至y等，以及哈希算法(MD5、SHA1、SHA256、HMAC、SM3)和加密脱敏(AES、SM4)满足多样化的脱敏要求。</w:t>
            </w:r>
            <w:r>
              <w:rPr>
                <w:b/>
              </w:rPr>
              <w:t>【投标文件中提供以下任意一个材料作为证明材料 :①提供具有第三方检测机构出具的带有 CMA 或 CNAS 标志的检测报告复印件，并加盖投标人公章。②提供产品官方公开的网页相应参数截图及网址链接，并加盖投标人公章。若提供第②点证明材料，须承诺供货时提供第①点的检测报告。该条款证明文件所在页码：_____页，并在所在页的证明文件中作出明显的标记(例如用红色方框标记或划圈等)以明确响应情况。】</w:t>
            </w:r>
          </w:p>
        </w:tc>
      </w:tr>
      <w:tr>
        <w:tc>
          <w:tcPr>
            <w:tcW w:type="dxa" w:w="2076"/>
          </w:tcPr>
          <w:p>
            <w:pPr>
              <w:pStyle w:val="null3"/>
            </w:pPr>
            <w:r>
              <w:rPr/>
              <w:t>▲</w:t>
            </w:r>
          </w:p>
        </w:tc>
        <w:tc>
          <w:tcPr>
            <w:tcW w:type="dxa" w:w="415"/>
          </w:tcPr>
          <w:p>
            <w:pPr>
              <w:pStyle w:val="null3"/>
            </w:pPr>
            <w:r>
              <w:rPr/>
              <w:t>3</w:t>
            </w:r>
          </w:p>
        </w:tc>
        <w:tc>
          <w:tcPr>
            <w:tcW w:type="dxa" w:w="5814"/>
          </w:tcPr>
          <w:p>
            <w:pPr>
              <w:pStyle w:val="null3"/>
            </w:pPr>
            <w:r>
              <w:rPr/>
              <w:t>3.数据安全审计：支持对数据访问和使用进行监控和审计，通过记录和分析数据的访问和使用情况;支持及时发现潜在的安全威胁和违规行为，并采取必要的措施保护数据安全;支持查看系统记录的所有安全审计事件。</w:t>
            </w:r>
            <w:r>
              <w:rPr>
                <w:b/>
              </w:rPr>
              <w:t>【投标文件中提供以下任意一个材料作为证明材料 :①提供具有第三方检测机构出具的带有 CMA 或 CNAS 标志的检测报告复印件，并加盖投标人公章。②提供产品官方公开的网页相应参数截图及网址链接，并加盖投标人公章。若提供第②点证明材料，须承诺供货时提供第①点的检测报告。该条款证明文件所在页码：_____页，并在所在页的证明文件中作出明显的标记(例如用红色方框标记或划圈等)以明确响应情况。】</w:t>
            </w:r>
          </w:p>
        </w:tc>
      </w:tr>
      <w:tr>
        <w:tc>
          <w:tcPr>
            <w:tcW w:type="dxa" w:w="2076"/>
          </w:tcPr>
          <w:p>
            <w:pPr>
              <w:pStyle w:val="null3"/>
            </w:pPr>
            <w:r>
              <w:rPr/>
              <w:t>说明</w:t>
            </w:r>
          </w:p>
        </w:tc>
        <w:tc>
          <w:tcPr>
            <w:tcW w:type="dxa" w:w="6229"/>
            <w:gridSpan w:val="2"/>
          </w:tcPr>
          <w:p>
            <w:pPr>
              <w:pStyle w:val="null3"/>
              <w:jc w:val="left"/>
            </w:pPr>
            <w:r>
              <w:rPr/>
              <w:t xml:space="preserve"> 打“★”号条款为实质性条款，若有任何一条负偏离或不满足则导致投标无效。 </w:t>
            </w:r>
            <w:r>
              <w:br/>
            </w:r>
            <w:r>
              <w:rPr/>
              <w:t>打“▲”号条款为重要技术参数，若有部分“▲”条款未响应或不满足，不作为无效投标条款。</w:t>
            </w:r>
          </w:p>
        </w:tc>
      </w:tr>
    </w:tbl>
    <w:p>
      <w:pPr>
        <w:pStyle w:val="null3"/>
      </w:pPr>
      <w:r>
        <w:rPr>
          <w:b/>
        </w:rPr>
        <w:t>附表</w:t>
      </w:r>
      <w:r>
        <w:rPr>
          <w:b/>
        </w:rPr>
        <w:t>九</w:t>
      </w:r>
      <w:r>
        <w:rPr>
          <w:b/>
        </w:rPr>
        <w:t>：</w:t>
      </w:r>
      <w:r>
        <w:rPr>
          <w:b/>
        </w:rPr>
        <w:t>元数据中心建设服务</w:t>
      </w:r>
    </w:p>
    <w:tbl>
      <w:tblPr>
        <w:tblW w:w="0" w:type="auto"/>
        <w:tblBorders>
          <w:top w:val="single"/>
          <w:left w:val="single"/>
          <w:bottom w:val="single"/>
          <w:right w:val="single"/>
          <w:insideH w:val="single"/>
          <w:insideV w:val="single"/>
        </w:tblBorders>
      </w:tblPr>
      <w:tblGrid>
        <w:gridCol w:w="2076"/>
        <w:gridCol w:w="415"/>
        <w:gridCol w:w="5814"/>
      </w:tblGrid>
      <w:tr>
        <w:tc>
          <w:tcPr>
            <w:tcW w:type="dxa" w:w="2076"/>
          </w:tcPr>
          <w:p>
            <w:pPr>
              <w:pStyle w:val="null3"/>
            </w:pPr>
            <w:r>
              <w:rPr/>
              <w:t>参数性质</w:t>
            </w:r>
          </w:p>
        </w:tc>
        <w:tc>
          <w:tcPr>
            <w:tcW w:type="dxa" w:w="415"/>
          </w:tcPr>
          <w:p>
            <w:pPr>
              <w:pStyle w:val="null3"/>
            </w:pPr>
            <w:r>
              <w:rPr/>
              <w:t>序号</w:t>
            </w:r>
          </w:p>
        </w:tc>
        <w:tc>
          <w:tcPr>
            <w:tcW w:type="dxa" w:w="5814"/>
          </w:tcPr>
          <w:p>
            <w:pPr>
              <w:pStyle w:val="null3"/>
            </w:pPr>
            <w:r>
              <w:rPr/>
              <w:t>具体技术(参数)要求</w:t>
            </w:r>
          </w:p>
        </w:tc>
      </w:tr>
      <w:tr>
        <w:tc>
          <w:tcPr>
            <w:tcW w:type="dxa" w:w="2076"/>
          </w:tcPr>
          <w:p/>
        </w:tc>
        <w:tc>
          <w:tcPr>
            <w:tcW w:type="dxa" w:w="415"/>
          </w:tcPr>
          <w:p>
            <w:pPr>
              <w:pStyle w:val="null3"/>
            </w:pPr>
            <w:r>
              <w:rPr/>
              <w:t>1</w:t>
            </w:r>
          </w:p>
        </w:tc>
        <w:tc>
          <w:tcPr>
            <w:tcW w:type="dxa" w:w="5814"/>
          </w:tcPr>
          <w:p>
            <w:pPr>
              <w:pStyle w:val="null3"/>
            </w:pPr>
            <w:r>
              <w:rPr/>
              <w:t>1.对业务系统元数据进行采集，识别业务库有效数据资源，分析出业务系统业务数据表，并对表中的字段进行识别，确定入湖对象，基于云端知识库进行元数据翻译、智能对标、对于知识库无法匹配的部分进行人工翻译与对标，同时进行元数据链路分析与元数据变更的全生命周期管理，建立校内“元数据一张网”管理“4层元数据”（业务库元数据、数据湖元数据、数据仓库元数据、数据集市元数据）。</w:t>
            </w:r>
          </w:p>
        </w:tc>
      </w:tr>
      <w:tr>
        <w:tc>
          <w:tcPr>
            <w:tcW w:type="dxa" w:w="2076"/>
          </w:tcPr>
          <w:p/>
        </w:tc>
        <w:tc>
          <w:tcPr>
            <w:tcW w:type="dxa" w:w="415"/>
          </w:tcPr>
          <w:p>
            <w:pPr>
              <w:pStyle w:val="null3"/>
            </w:pPr>
            <w:r>
              <w:rPr/>
              <w:t>2</w:t>
            </w:r>
          </w:p>
        </w:tc>
        <w:tc>
          <w:tcPr>
            <w:tcW w:type="dxa" w:w="5814"/>
          </w:tcPr>
          <w:p>
            <w:pPr>
              <w:pStyle w:val="null3"/>
            </w:pPr>
            <w:r>
              <w:rPr/>
              <w:t>2.交付物：</w:t>
            </w:r>
          </w:p>
          <w:p>
            <w:pPr>
              <w:pStyle w:val="null3"/>
            </w:pPr>
            <w:r>
              <w:rPr/>
              <w:t>1)《元数据采集清单》</w:t>
            </w:r>
          </w:p>
        </w:tc>
      </w:tr>
      <w:tr>
        <w:tc>
          <w:tcPr>
            <w:tcW w:type="dxa" w:w="2076"/>
          </w:tcPr>
          <w:p/>
        </w:tc>
        <w:tc>
          <w:tcPr>
            <w:tcW w:type="dxa" w:w="415"/>
          </w:tcPr>
          <w:p>
            <w:pPr>
              <w:pStyle w:val="null3"/>
            </w:pPr>
            <w:r>
              <w:rPr/>
              <w:t>3</w:t>
            </w:r>
          </w:p>
        </w:tc>
        <w:tc>
          <w:tcPr>
            <w:tcW w:type="dxa" w:w="5814"/>
          </w:tcPr>
          <w:p>
            <w:pPr>
              <w:pStyle w:val="null3"/>
            </w:pPr>
            <w:r>
              <w:rPr/>
              <w:t>2)《元数据翻译分析清单》</w:t>
            </w:r>
          </w:p>
        </w:tc>
      </w:tr>
      <w:tr>
        <w:tc>
          <w:tcPr>
            <w:tcW w:type="dxa" w:w="2076"/>
          </w:tcPr>
          <w:p/>
        </w:tc>
        <w:tc>
          <w:tcPr>
            <w:tcW w:type="dxa" w:w="415"/>
          </w:tcPr>
          <w:p>
            <w:pPr>
              <w:pStyle w:val="null3"/>
            </w:pPr>
            <w:r>
              <w:rPr/>
              <w:t>4</w:t>
            </w:r>
          </w:p>
        </w:tc>
        <w:tc>
          <w:tcPr>
            <w:tcW w:type="dxa" w:w="5814"/>
          </w:tcPr>
          <w:p>
            <w:pPr>
              <w:pStyle w:val="null3"/>
            </w:pPr>
            <w:r>
              <w:rPr/>
              <w:t>3)《数据入湖入仓清单》</w:t>
            </w:r>
          </w:p>
        </w:tc>
      </w:tr>
      <w:tr>
        <w:tc>
          <w:tcPr>
            <w:tcW w:type="dxa" w:w="2076"/>
          </w:tcPr>
          <w:p>
            <w:pPr>
              <w:pStyle w:val="null3"/>
            </w:pPr>
            <w:r>
              <w:rPr/>
              <w:t>说明</w:t>
            </w:r>
          </w:p>
        </w:tc>
        <w:tc>
          <w:tcPr>
            <w:tcW w:type="dxa" w:w="6229"/>
            <w:gridSpan w:val="2"/>
          </w:tcPr>
          <w:p>
            <w:pPr>
              <w:pStyle w:val="null3"/>
              <w:jc w:val="left"/>
            </w:pPr>
            <w:r>
              <w:rPr/>
              <w:t xml:space="preserve"> 打“★”号条款为实质性条款，若有任何一条负偏离或不满足则导致投标无效。 </w:t>
            </w:r>
            <w:r>
              <w:br/>
            </w:r>
            <w:r>
              <w:rPr/>
              <w:t>打“▲”号条款为重要技术参数，若有部分“▲”条款未响应或不满足，不作为无效投标条款。</w:t>
            </w:r>
          </w:p>
        </w:tc>
      </w:tr>
    </w:tbl>
    <w:p>
      <w:pPr>
        <w:pStyle w:val="null3"/>
      </w:pPr>
      <w:r>
        <w:rPr>
          <w:b/>
        </w:rPr>
        <w:t>附表</w:t>
      </w:r>
      <w:r>
        <w:rPr>
          <w:b/>
        </w:rPr>
        <w:t>十</w:t>
      </w:r>
      <w:r>
        <w:rPr>
          <w:b/>
        </w:rPr>
        <w:t>：</w:t>
      </w:r>
      <w:r>
        <w:rPr>
          <w:b/>
        </w:rPr>
        <w:t>校级数据标准建设服务</w:t>
      </w:r>
    </w:p>
    <w:tbl>
      <w:tblPr>
        <w:tblW w:w="0" w:type="auto"/>
        <w:tblBorders>
          <w:top w:val="single"/>
          <w:left w:val="single"/>
          <w:bottom w:val="single"/>
          <w:right w:val="single"/>
          <w:insideH w:val="single"/>
          <w:insideV w:val="single"/>
        </w:tblBorders>
      </w:tblPr>
      <w:tblGrid>
        <w:gridCol w:w="2076"/>
        <w:gridCol w:w="415"/>
        <w:gridCol w:w="5814"/>
      </w:tblGrid>
      <w:tr>
        <w:tc>
          <w:tcPr>
            <w:tcW w:type="dxa" w:w="2076"/>
          </w:tcPr>
          <w:p>
            <w:pPr>
              <w:pStyle w:val="null3"/>
            </w:pPr>
            <w:r>
              <w:rPr/>
              <w:t>参数性质</w:t>
            </w:r>
          </w:p>
        </w:tc>
        <w:tc>
          <w:tcPr>
            <w:tcW w:type="dxa" w:w="415"/>
          </w:tcPr>
          <w:p>
            <w:pPr>
              <w:pStyle w:val="null3"/>
            </w:pPr>
            <w:r>
              <w:rPr/>
              <w:t>序号</w:t>
            </w:r>
          </w:p>
        </w:tc>
        <w:tc>
          <w:tcPr>
            <w:tcW w:type="dxa" w:w="5814"/>
          </w:tcPr>
          <w:p>
            <w:pPr>
              <w:pStyle w:val="null3"/>
            </w:pPr>
            <w:r>
              <w:rPr/>
              <w:t>具体技术(参数)要求</w:t>
            </w:r>
          </w:p>
        </w:tc>
      </w:tr>
      <w:tr>
        <w:tc>
          <w:tcPr>
            <w:tcW w:type="dxa" w:w="2076"/>
          </w:tcPr>
          <w:p/>
        </w:tc>
        <w:tc>
          <w:tcPr>
            <w:tcW w:type="dxa" w:w="415"/>
          </w:tcPr>
          <w:p>
            <w:pPr>
              <w:pStyle w:val="null3"/>
            </w:pPr>
            <w:r>
              <w:rPr/>
              <w:t>1</w:t>
            </w:r>
          </w:p>
        </w:tc>
        <w:tc>
          <w:tcPr>
            <w:tcW w:type="dxa" w:w="5814"/>
          </w:tcPr>
          <w:p>
            <w:pPr>
              <w:pStyle w:val="null3"/>
            </w:pPr>
            <w:r>
              <w:rPr/>
              <w:t>1.以教育行业标准为主体框架，进行数据域分类和数据标准定义，引用国家和行业标准代码和学校现有事实标准，根据学校实际情况制定自有代码标准，规定编码规范、命名规范，结合业务及系统分析手段，基于已梳理数据模型，针对学校现有业务系统进行数据标准映射，识别数据标准缺口，完成业务域标准建设，制定符合学校发展的数据标准规范。</w:t>
            </w:r>
          </w:p>
        </w:tc>
      </w:tr>
      <w:tr>
        <w:tc>
          <w:tcPr>
            <w:tcW w:type="dxa" w:w="2076"/>
          </w:tcPr>
          <w:p/>
        </w:tc>
        <w:tc>
          <w:tcPr>
            <w:tcW w:type="dxa" w:w="415"/>
          </w:tcPr>
          <w:p>
            <w:pPr>
              <w:pStyle w:val="null3"/>
            </w:pPr>
            <w:r>
              <w:rPr/>
              <w:t>2</w:t>
            </w:r>
          </w:p>
        </w:tc>
        <w:tc>
          <w:tcPr>
            <w:tcW w:type="dxa" w:w="5814"/>
          </w:tcPr>
          <w:p>
            <w:pPr>
              <w:pStyle w:val="null3"/>
            </w:pPr>
            <w:r>
              <w:rPr/>
              <w:t>2.交付物：</w:t>
            </w:r>
          </w:p>
          <w:p>
            <w:pPr>
              <w:pStyle w:val="null3"/>
            </w:pPr>
            <w:r>
              <w:rPr/>
              <w:t>1)《数据标准白皮书》含数据标准分类与定义、数据标准编码及规范、校标标准（信息集和代码集）、数据权限等。</w:t>
            </w:r>
          </w:p>
        </w:tc>
      </w:tr>
      <w:tr>
        <w:tc>
          <w:tcPr>
            <w:tcW w:type="dxa" w:w="2076"/>
          </w:tcPr>
          <w:p/>
        </w:tc>
        <w:tc>
          <w:tcPr>
            <w:tcW w:type="dxa" w:w="415"/>
          </w:tcPr>
          <w:p>
            <w:pPr>
              <w:pStyle w:val="null3"/>
            </w:pPr>
            <w:r>
              <w:rPr/>
              <w:t>3</w:t>
            </w:r>
          </w:p>
        </w:tc>
        <w:tc>
          <w:tcPr>
            <w:tcW w:type="dxa" w:w="5814"/>
          </w:tcPr>
          <w:p>
            <w:pPr>
              <w:pStyle w:val="null3"/>
            </w:pPr>
            <w:r>
              <w:rPr/>
              <w:t>2)《数据标准落地实施建议》及数据标准支撑应用。</w:t>
            </w:r>
          </w:p>
        </w:tc>
      </w:tr>
      <w:tr>
        <w:tc>
          <w:tcPr>
            <w:tcW w:type="dxa" w:w="2076"/>
          </w:tcPr>
          <w:p>
            <w:pPr>
              <w:pStyle w:val="null3"/>
            </w:pPr>
            <w:r>
              <w:rPr/>
              <w:t>说明</w:t>
            </w:r>
          </w:p>
        </w:tc>
        <w:tc>
          <w:tcPr>
            <w:tcW w:type="dxa" w:w="6229"/>
            <w:gridSpan w:val="2"/>
          </w:tcPr>
          <w:p>
            <w:pPr>
              <w:pStyle w:val="null3"/>
              <w:jc w:val="left"/>
            </w:pPr>
            <w:r>
              <w:rPr/>
              <w:t xml:space="preserve"> 打“★”号条款为实质性条款，若有任何一条负偏离或不满足则导致投标无效。 </w:t>
            </w:r>
            <w:r>
              <w:br/>
            </w:r>
            <w:r>
              <w:rPr/>
              <w:t>打“▲”号条款为重要技术参数，若有部分“▲”条款未响应或不满足，不作为无效投标条款。</w:t>
            </w:r>
          </w:p>
        </w:tc>
      </w:tr>
    </w:tbl>
    <w:p>
      <w:pPr>
        <w:pStyle w:val="null3"/>
      </w:pPr>
      <w:r>
        <w:rPr>
          <w:b/>
        </w:rPr>
        <w:t>附表</w:t>
      </w:r>
      <w:r>
        <w:rPr>
          <w:b/>
        </w:rPr>
        <w:t>十一</w:t>
      </w:r>
      <w:r>
        <w:rPr>
          <w:b/>
        </w:rPr>
        <w:t>：</w:t>
      </w:r>
      <w:r>
        <w:rPr>
          <w:b/>
        </w:rPr>
        <w:t>数据建模服务</w:t>
      </w:r>
    </w:p>
    <w:tbl>
      <w:tblPr>
        <w:tblW w:w="0" w:type="auto"/>
        <w:tblBorders>
          <w:top w:val="single"/>
          <w:left w:val="single"/>
          <w:bottom w:val="single"/>
          <w:right w:val="single"/>
          <w:insideH w:val="single"/>
          <w:insideV w:val="single"/>
        </w:tblBorders>
      </w:tblPr>
      <w:tblGrid>
        <w:gridCol w:w="2076"/>
        <w:gridCol w:w="415"/>
        <w:gridCol w:w="5814"/>
      </w:tblGrid>
      <w:tr>
        <w:tc>
          <w:tcPr>
            <w:tcW w:type="dxa" w:w="2076"/>
          </w:tcPr>
          <w:p>
            <w:pPr>
              <w:pStyle w:val="null3"/>
            </w:pPr>
            <w:r>
              <w:rPr/>
              <w:t>参数性质</w:t>
            </w:r>
          </w:p>
        </w:tc>
        <w:tc>
          <w:tcPr>
            <w:tcW w:type="dxa" w:w="415"/>
          </w:tcPr>
          <w:p>
            <w:pPr>
              <w:pStyle w:val="null3"/>
            </w:pPr>
            <w:r>
              <w:rPr/>
              <w:t>序号</w:t>
            </w:r>
          </w:p>
        </w:tc>
        <w:tc>
          <w:tcPr>
            <w:tcW w:type="dxa" w:w="5814"/>
          </w:tcPr>
          <w:p>
            <w:pPr>
              <w:pStyle w:val="null3"/>
            </w:pPr>
            <w:r>
              <w:rPr/>
              <w:t>具体技术(参数)要求</w:t>
            </w:r>
          </w:p>
        </w:tc>
      </w:tr>
      <w:tr>
        <w:tc>
          <w:tcPr>
            <w:tcW w:type="dxa" w:w="2076"/>
          </w:tcPr>
          <w:p/>
        </w:tc>
        <w:tc>
          <w:tcPr>
            <w:tcW w:type="dxa" w:w="415"/>
          </w:tcPr>
          <w:p>
            <w:pPr>
              <w:pStyle w:val="null3"/>
            </w:pPr>
            <w:r>
              <w:rPr/>
              <w:t>1</w:t>
            </w:r>
          </w:p>
        </w:tc>
        <w:tc>
          <w:tcPr>
            <w:tcW w:type="dxa" w:w="5814"/>
          </w:tcPr>
          <w:p>
            <w:pPr>
              <w:pStyle w:val="null3"/>
            </w:pPr>
            <w:r>
              <w:rPr>
                <w:sz w:val="21"/>
                <w:color w:val="000000"/>
              </w:rPr>
              <w:t>1.</w:t>
            </w:r>
            <w:r>
              <w:rPr>
                <w:sz w:val="21"/>
              </w:rPr>
              <w:t>基于数据标准业务域划分构建主题库数据模型，通过定制服务建设专题数据和分析数据模型。</w:t>
            </w:r>
          </w:p>
        </w:tc>
      </w:tr>
      <w:tr>
        <w:tc>
          <w:tcPr>
            <w:tcW w:type="dxa" w:w="2076"/>
          </w:tcPr>
          <w:p/>
        </w:tc>
        <w:tc>
          <w:tcPr>
            <w:tcW w:type="dxa" w:w="415"/>
          </w:tcPr>
          <w:p>
            <w:pPr>
              <w:pStyle w:val="null3"/>
            </w:pPr>
            <w:r>
              <w:rPr/>
              <w:t>2</w:t>
            </w:r>
          </w:p>
        </w:tc>
        <w:tc>
          <w:tcPr>
            <w:tcW w:type="dxa" w:w="5814"/>
          </w:tcPr>
          <w:p>
            <w:pPr>
              <w:pStyle w:val="null3"/>
            </w:pPr>
            <w:r>
              <w:rPr>
                <w:sz w:val="21"/>
              </w:rPr>
              <w:t>2.</w:t>
            </w:r>
            <w:r>
              <w:rPr>
                <w:sz w:val="21"/>
              </w:rPr>
              <w:t>交付物：提供数据治理涉及的集市模型相关的知识类文件。</w:t>
            </w:r>
          </w:p>
        </w:tc>
      </w:tr>
      <w:tr>
        <w:tc>
          <w:tcPr>
            <w:tcW w:type="dxa" w:w="2076"/>
          </w:tcPr>
          <w:p>
            <w:pPr>
              <w:pStyle w:val="null3"/>
            </w:pPr>
            <w:r>
              <w:rPr/>
              <w:t>说明</w:t>
            </w:r>
          </w:p>
        </w:tc>
        <w:tc>
          <w:tcPr>
            <w:tcW w:type="dxa" w:w="6229"/>
            <w:gridSpan w:val="2"/>
          </w:tcPr>
          <w:p>
            <w:pPr>
              <w:pStyle w:val="null3"/>
              <w:jc w:val="left"/>
            </w:pPr>
            <w:r>
              <w:rPr/>
              <w:t xml:space="preserve"> 打“★”号条款为实质性条款，若有任何一条负偏离或不满足则导致投标无效。 </w:t>
            </w:r>
            <w:r>
              <w:br/>
            </w:r>
            <w:r>
              <w:rPr/>
              <w:t>打“▲”号条款为重要技术参数，若有部分“▲”条款未响应或不满足，不作为无效投标条款。</w:t>
            </w:r>
          </w:p>
        </w:tc>
      </w:tr>
    </w:tbl>
    <w:p>
      <w:pPr>
        <w:pStyle w:val="null3"/>
      </w:pPr>
      <w:r>
        <w:rPr>
          <w:b/>
        </w:rPr>
        <w:t>附表</w:t>
      </w:r>
      <w:r>
        <w:rPr>
          <w:b/>
        </w:rPr>
        <w:t>十二</w:t>
      </w:r>
      <w:r>
        <w:rPr>
          <w:b/>
        </w:rPr>
        <w:t>：</w:t>
      </w:r>
      <w:r>
        <w:rPr>
          <w:b/>
        </w:rPr>
        <w:t>共享数据中心迁移服务</w:t>
      </w:r>
    </w:p>
    <w:tbl>
      <w:tblPr>
        <w:tblW w:w="0" w:type="auto"/>
        <w:tblBorders>
          <w:top w:val="single"/>
          <w:left w:val="single"/>
          <w:bottom w:val="single"/>
          <w:right w:val="single"/>
          <w:insideH w:val="single"/>
          <w:insideV w:val="single"/>
        </w:tblBorders>
      </w:tblPr>
      <w:tblGrid>
        <w:gridCol w:w="2076"/>
        <w:gridCol w:w="415"/>
        <w:gridCol w:w="5814"/>
      </w:tblGrid>
      <w:tr>
        <w:tc>
          <w:tcPr>
            <w:tcW w:type="dxa" w:w="2076"/>
          </w:tcPr>
          <w:p>
            <w:pPr>
              <w:pStyle w:val="null3"/>
            </w:pPr>
            <w:r>
              <w:rPr/>
              <w:t>参数性质</w:t>
            </w:r>
          </w:p>
        </w:tc>
        <w:tc>
          <w:tcPr>
            <w:tcW w:type="dxa" w:w="415"/>
          </w:tcPr>
          <w:p>
            <w:pPr>
              <w:pStyle w:val="null3"/>
            </w:pPr>
            <w:r>
              <w:rPr/>
              <w:t>序号</w:t>
            </w:r>
          </w:p>
        </w:tc>
        <w:tc>
          <w:tcPr>
            <w:tcW w:type="dxa" w:w="5814"/>
          </w:tcPr>
          <w:p>
            <w:pPr>
              <w:pStyle w:val="null3"/>
            </w:pPr>
            <w:r>
              <w:rPr/>
              <w:t>具体技术(参数)要求</w:t>
            </w:r>
          </w:p>
        </w:tc>
      </w:tr>
      <w:tr>
        <w:tc>
          <w:tcPr>
            <w:tcW w:type="dxa" w:w="2076"/>
          </w:tcPr>
          <w:p/>
        </w:tc>
        <w:tc>
          <w:tcPr>
            <w:tcW w:type="dxa" w:w="415"/>
          </w:tcPr>
          <w:p>
            <w:pPr>
              <w:pStyle w:val="null3"/>
            </w:pPr>
            <w:r>
              <w:rPr/>
              <w:t>1</w:t>
            </w:r>
          </w:p>
        </w:tc>
        <w:tc>
          <w:tcPr>
            <w:tcW w:type="dxa" w:w="5814"/>
          </w:tcPr>
          <w:p>
            <w:pPr>
              <w:pStyle w:val="null3"/>
            </w:pPr>
            <w:r>
              <w:rPr>
                <w:sz w:val="21"/>
              </w:rPr>
              <w:t>1.</w:t>
            </w:r>
            <w:r>
              <w:rPr>
                <w:sz w:val="21"/>
              </w:rPr>
              <w:t>分析当前共享数据中心建设情况，包括数据上行流程及下行数据共享情况，对于共享中心涉及的</w:t>
            </w:r>
            <w:r>
              <w:rPr>
                <w:sz w:val="21"/>
              </w:rPr>
              <w:t>ETL接口按照本次数据治理的规划将数据采集接口和数据服务迁移到新的数据治理平台中，短期内新旧数据中心独立运行，后续逐步实现平滑过渡与切换。</w:t>
            </w:r>
          </w:p>
        </w:tc>
      </w:tr>
      <w:tr>
        <w:tc>
          <w:tcPr>
            <w:tcW w:type="dxa" w:w="2076"/>
          </w:tcPr>
          <w:p/>
        </w:tc>
        <w:tc>
          <w:tcPr>
            <w:tcW w:type="dxa" w:w="415"/>
          </w:tcPr>
          <w:p>
            <w:pPr>
              <w:pStyle w:val="null3"/>
            </w:pPr>
            <w:r>
              <w:rPr/>
              <w:t>2</w:t>
            </w:r>
          </w:p>
        </w:tc>
        <w:tc>
          <w:tcPr>
            <w:tcW w:type="dxa" w:w="5814"/>
          </w:tcPr>
          <w:p>
            <w:pPr>
              <w:pStyle w:val="null3"/>
            </w:pPr>
            <w:r>
              <w:rPr>
                <w:sz w:val="21"/>
                <w:color w:val="000000"/>
              </w:rPr>
              <w:t>2.</w:t>
            </w:r>
            <w:r>
              <w:rPr>
                <w:sz w:val="21"/>
              </w:rPr>
              <w:t>交付物：共享数据中心迁移实施方案。</w:t>
            </w:r>
          </w:p>
        </w:tc>
      </w:tr>
      <w:tr>
        <w:tc>
          <w:tcPr>
            <w:tcW w:type="dxa" w:w="2076"/>
          </w:tcPr>
          <w:p>
            <w:pPr>
              <w:pStyle w:val="null3"/>
            </w:pPr>
            <w:r>
              <w:rPr/>
              <w:t>说明</w:t>
            </w:r>
          </w:p>
        </w:tc>
        <w:tc>
          <w:tcPr>
            <w:tcW w:type="dxa" w:w="6229"/>
            <w:gridSpan w:val="2"/>
          </w:tcPr>
          <w:p>
            <w:pPr>
              <w:pStyle w:val="null3"/>
              <w:jc w:val="left"/>
            </w:pPr>
            <w:r>
              <w:rPr/>
              <w:t xml:space="preserve"> 打“★”号条款为实质性条款，若有任何一条负偏离或不满足则导致投标无效。 </w:t>
            </w:r>
            <w:r>
              <w:br/>
            </w:r>
            <w:r>
              <w:rPr/>
              <w:t>打“▲”号条款为重要技术参数，若有部分“▲”条款未响应或不满足，不作为无效投标条款。</w:t>
            </w:r>
          </w:p>
        </w:tc>
      </w:tr>
    </w:tbl>
    <w:p>
      <w:pPr>
        <w:pStyle w:val="null3"/>
      </w:pPr>
      <w:r>
        <w:rPr>
          <w:b/>
        </w:rPr>
        <w:t>附表</w:t>
      </w:r>
      <w:r>
        <w:rPr>
          <w:b/>
        </w:rPr>
        <w:t>十三</w:t>
      </w:r>
      <w:r>
        <w:rPr>
          <w:b/>
        </w:rPr>
        <w:t>：</w:t>
      </w:r>
      <w:r>
        <w:rPr>
          <w:b/>
        </w:rPr>
        <w:t>数据集成清洗服务</w:t>
      </w:r>
    </w:p>
    <w:tbl>
      <w:tblPr>
        <w:tblW w:w="0" w:type="auto"/>
        <w:tblBorders>
          <w:top w:val="single"/>
          <w:left w:val="single"/>
          <w:bottom w:val="single"/>
          <w:right w:val="single"/>
          <w:insideH w:val="single"/>
          <w:insideV w:val="single"/>
        </w:tblBorders>
      </w:tblPr>
      <w:tblGrid>
        <w:gridCol w:w="2076"/>
        <w:gridCol w:w="415"/>
        <w:gridCol w:w="5814"/>
      </w:tblGrid>
      <w:tr>
        <w:tc>
          <w:tcPr>
            <w:tcW w:type="dxa" w:w="2076"/>
          </w:tcPr>
          <w:p>
            <w:pPr>
              <w:pStyle w:val="null3"/>
            </w:pPr>
            <w:r>
              <w:rPr/>
              <w:t>参数性质</w:t>
            </w:r>
          </w:p>
        </w:tc>
        <w:tc>
          <w:tcPr>
            <w:tcW w:type="dxa" w:w="415"/>
          </w:tcPr>
          <w:p>
            <w:pPr>
              <w:pStyle w:val="null3"/>
            </w:pPr>
            <w:r>
              <w:rPr/>
              <w:t>序号</w:t>
            </w:r>
          </w:p>
        </w:tc>
        <w:tc>
          <w:tcPr>
            <w:tcW w:type="dxa" w:w="5814"/>
          </w:tcPr>
          <w:p>
            <w:pPr>
              <w:pStyle w:val="null3"/>
            </w:pPr>
            <w:r>
              <w:rPr/>
              <w:t>具体技术(参数)要求</w:t>
            </w:r>
          </w:p>
        </w:tc>
      </w:tr>
      <w:tr>
        <w:tc>
          <w:tcPr>
            <w:tcW w:type="dxa" w:w="2076"/>
          </w:tcPr>
          <w:p/>
        </w:tc>
        <w:tc>
          <w:tcPr>
            <w:tcW w:type="dxa" w:w="415"/>
          </w:tcPr>
          <w:p>
            <w:pPr>
              <w:pStyle w:val="null3"/>
            </w:pPr>
            <w:r>
              <w:rPr/>
              <w:t>1</w:t>
            </w:r>
          </w:p>
        </w:tc>
        <w:tc>
          <w:tcPr>
            <w:tcW w:type="dxa" w:w="5814"/>
          </w:tcPr>
          <w:p>
            <w:pPr>
              <w:pStyle w:val="null3"/>
            </w:pPr>
            <w:r>
              <w:rPr/>
              <w:t>1.建设数据仓库，规范数据的建模，建设包括数据湖层（ODS）、数据仓库层（DW）和数据集市层（ADS）三层数仓结构。</w:t>
            </w:r>
          </w:p>
        </w:tc>
      </w:tr>
      <w:tr>
        <w:tc>
          <w:tcPr>
            <w:tcW w:type="dxa" w:w="2076"/>
          </w:tcPr>
          <w:p/>
        </w:tc>
        <w:tc>
          <w:tcPr>
            <w:tcW w:type="dxa" w:w="415"/>
          </w:tcPr>
          <w:p>
            <w:pPr>
              <w:pStyle w:val="null3"/>
            </w:pPr>
            <w:r>
              <w:rPr/>
              <w:t>2</w:t>
            </w:r>
          </w:p>
        </w:tc>
        <w:tc>
          <w:tcPr>
            <w:tcW w:type="dxa" w:w="5814"/>
          </w:tcPr>
          <w:p>
            <w:pPr>
              <w:pStyle w:val="null3"/>
            </w:pPr>
            <w:r>
              <w:rPr/>
              <w:t>2.数据湖层：将经过摸底识别出的业务系统业务数据表进行数据入湖操作，存储在数据湖中，完成校内分散数据的应采尽采，入湖的数据是未经过整理和加工的原始数据，包括结构化数据和非结构化数据，例如学生信息、教师信息、课程数据、研究数据、日志、文件等。通过数据入湖，学校可以将来自不同部门和系统的数据整合到一个统一的数据湖中，为后续的数据分析和挖掘提供基础。主要存储从不同业务系统等来源汇聚过来的原始数据，数据保持原貌不做处理。</w:t>
            </w:r>
          </w:p>
        </w:tc>
      </w:tr>
      <w:tr>
        <w:tc>
          <w:tcPr>
            <w:tcW w:type="dxa" w:w="2076"/>
          </w:tcPr>
          <w:p/>
        </w:tc>
        <w:tc>
          <w:tcPr>
            <w:tcW w:type="dxa" w:w="415"/>
          </w:tcPr>
          <w:p>
            <w:pPr>
              <w:pStyle w:val="null3"/>
            </w:pPr>
            <w:r>
              <w:rPr/>
              <w:t>3</w:t>
            </w:r>
          </w:p>
        </w:tc>
        <w:tc>
          <w:tcPr>
            <w:tcW w:type="dxa" w:w="5814"/>
          </w:tcPr>
          <w:p>
            <w:pPr>
              <w:pStyle w:val="null3"/>
            </w:pPr>
            <w:r>
              <w:rPr/>
              <w:t>3.数据仓库层分数据明细层（DWD）、维表层（DIM），标准化数据仓库层以校级数据标准作为数据模型的定义，通过对数据湖层的原始数据资源进行清洗、整合、转换等必要操作，形成与数据模型匹配的标准化数据，按照主题域分类、子类进行存储。数据入仓过程包括数据清洗、数据整合、数据转换、并基于维度建模构建明细宽表，复用关联计算，形成可供查询和分析的规范化数据集合。</w:t>
            </w:r>
          </w:p>
        </w:tc>
      </w:tr>
      <w:tr>
        <w:tc>
          <w:tcPr>
            <w:tcW w:type="dxa" w:w="2076"/>
          </w:tcPr>
          <w:p/>
        </w:tc>
        <w:tc>
          <w:tcPr>
            <w:tcW w:type="dxa" w:w="415"/>
          </w:tcPr>
          <w:p>
            <w:pPr>
              <w:pStyle w:val="null3"/>
            </w:pPr>
            <w:r>
              <w:rPr/>
              <w:t>4</w:t>
            </w:r>
          </w:p>
        </w:tc>
        <w:tc>
          <w:tcPr>
            <w:tcW w:type="dxa" w:w="5814"/>
          </w:tcPr>
          <w:p>
            <w:pPr>
              <w:pStyle w:val="null3"/>
            </w:pPr>
            <w:r>
              <w:rPr/>
              <w:t>4.数据整合与清洗：对本阶段清洗的应用系统进行数据清洗：完成系统的数据清洗，按照业务模型进行抽取转换清洗入库，构建数据仓库。</w:t>
            </w:r>
          </w:p>
        </w:tc>
      </w:tr>
      <w:tr>
        <w:tc>
          <w:tcPr>
            <w:tcW w:type="dxa" w:w="2076"/>
          </w:tcPr>
          <w:p/>
        </w:tc>
        <w:tc>
          <w:tcPr>
            <w:tcW w:type="dxa" w:w="415"/>
          </w:tcPr>
          <w:p>
            <w:pPr>
              <w:pStyle w:val="null3"/>
            </w:pPr>
            <w:r>
              <w:rPr/>
              <w:t>5</w:t>
            </w:r>
          </w:p>
        </w:tc>
        <w:tc>
          <w:tcPr>
            <w:tcW w:type="dxa" w:w="5814"/>
          </w:tcPr>
          <w:p>
            <w:pPr>
              <w:pStyle w:val="null3"/>
            </w:pPr>
            <w:r>
              <w:rPr/>
              <w:t>5.数据集市层以DWD为基础，进行汇总与数据开发，构建命名规范、口径一致的统计指标，为上层提供公共指标，为各种统计报表提供个性化数据、宽表集市、趋势指标。作为应用层直接提供给页面调用，提升数据查询的速度。</w:t>
            </w:r>
          </w:p>
        </w:tc>
      </w:tr>
      <w:tr>
        <w:tc>
          <w:tcPr>
            <w:tcW w:type="dxa" w:w="2076"/>
          </w:tcPr>
          <w:p>
            <w:pPr>
              <w:pStyle w:val="null3"/>
            </w:pPr>
            <w:r>
              <w:rPr/>
              <w:t>说明</w:t>
            </w:r>
          </w:p>
        </w:tc>
        <w:tc>
          <w:tcPr>
            <w:tcW w:type="dxa" w:w="6229"/>
            <w:gridSpan w:val="2"/>
          </w:tcPr>
          <w:p>
            <w:pPr>
              <w:pStyle w:val="null3"/>
              <w:jc w:val="left"/>
            </w:pPr>
            <w:r>
              <w:rPr/>
              <w:t xml:space="preserve"> 打“★”号条款为实质性条款，若有任何一条负偏离或不满足则导致投标无效。 </w:t>
            </w:r>
            <w:r>
              <w:br/>
            </w:r>
            <w:r>
              <w:rPr/>
              <w:t>打“▲”号条款为重要技术参数，若有部分“▲”条款未响应或不满足，不作为无效投标条款。</w:t>
            </w:r>
          </w:p>
        </w:tc>
      </w:tr>
    </w:tbl>
    <w:p>
      <w:pPr>
        <w:pStyle w:val="null3"/>
      </w:pPr>
      <w:r>
        <w:rPr>
          <w:b/>
        </w:rPr>
        <w:t>附表</w:t>
      </w:r>
      <w:r>
        <w:rPr>
          <w:b/>
        </w:rPr>
        <w:t>十四</w:t>
      </w:r>
      <w:r>
        <w:rPr>
          <w:b/>
        </w:rPr>
        <w:t>：</w:t>
      </w:r>
      <w:r>
        <w:rPr>
          <w:b/>
        </w:rPr>
        <w:t>数据共享服务</w:t>
      </w:r>
    </w:p>
    <w:tbl>
      <w:tblPr>
        <w:tblW w:w="0" w:type="auto"/>
        <w:tblBorders>
          <w:top w:val="single"/>
          <w:left w:val="single"/>
          <w:bottom w:val="single"/>
          <w:right w:val="single"/>
          <w:insideH w:val="single"/>
          <w:insideV w:val="single"/>
        </w:tblBorders>
      </w:tblPr>
      <w:tblGrid>
        <w:gridCol w:w="2076"/>
        <w:gridCol w:w="415"/>
        <w:gridCol w:w="5814"/>
      </w:tblGrid>
      <w:tr>
        <w:tc>
          <w:tcPr>
            <w:tcW w:type="dxa" w:w="2076"/>
          </w:tcPr>
          <w:p>
            <w:pPr>
              <w:pStyle w:val="null3"/>
            </w:pPr>
            <w:r>
              <w:rPr/>
              <w:t>参数性质</w:t>
            </w:r>
          </w:p>
        </w:tc>
        <w:tc>
          <w:tcPr>
            <w:tcW w:type="dxa" w:w="415"/>
          </w:tcPr>
          <w:p>
            <w:pPr>
              <w:pStyle w:val="null3"/>
            </w:pPr>
            <w:r>
              <w:rPr/>
              <w:t>序号</w:t>
            </w:r>
          </w:p>
        </w:tc>
        <w:tc>
          <w:tcPr>
            <w:tcW w:type="dxa" w:w="5814"/>
          </w:tcPr>
          <w:p>
            <w:pPr>
              <w:pStyle w:val="null3"/>
            </w:pPr>
            <w:r>
              <w:rPr/>
              <w:t>具体技术(参数)要求</w:t>
            </w:r>
          </w:p>
        </w:tc>
      </w:tr>
      <w:tr>
        <w:tc>
          <w:tcPr>
            <w:tcW w:type="dxa" w:w="2076"/>
          </w:tcPr>
          <w:p/>
        </w:tc>
        <w:tc>
          <w:tcPr>
            <w:tcW w:type="dxa" w:w="415"/>
          </w:tcPr>
          <w:p>
            <w:pPr>
              <w:pStyle w:val="null3"/>
            </w:pPr>
            <w:r>
              <w:rPr/>
              <w:t>1</w:t>
            </w:r>
          </w:p>
        </w:tc>
        <w:tc>
          <w:tcPr>
            <w:tcW w:type="dxa" w:w="5814"/>
          </w:tcPr>
          <w:p>
            <w:pPr>
              <w:pStyle w:val="null3"/>
            </w:pPr>
            <w:r>
              <w:rPr/>
              <w:t>1.数据标准下载服务：为满足AI大模型对高质量数据的需求，提供查看全校所有的信息集与代码集标准详情信息服务和单独下载信息集和代码集，或者加入到选数车或收藏夹批量下载服务。</w:t>
            </w:r>
          </w:p>
        </w:tc>
      </w:tr>
      <w:tr>
        <w:tc>
          <w:tcPr>
            <w:tcW w:type="dxa" w:w="2076"/>
          </w:tcPr>
          <w:p/>
        </w:tc>
        <w:tc>
          <w:tcPr>
            <w:tcW w:type="dxa" w:w="415"/>
          </w:tcPr>
          <w:p>
            <w:pPr>
              <w:pStyle w:val="null3"/>
            </w:pPr>
            <w:r>
              <w:rPr/>
              <w:t>2</w:t>
            </w:r>
          </w:p>
        </w:tc>
        <w:tc>
          <w:tcPr>
            <w:tcW w:type="dxa" w:w="5814"/>
          </w:tcPr>
          <w:p>
            <w:pPr>
              <w:pStyle w:val="null3"/>
            </w:pPr>
            <w:r>
              <w:rPr/>
              <w:t>2.数据资产目录服务：提供查看全校所有已上架资产服务和单个申请或批量申请服务，并根据流程配置进行审批。从部门的视角完成部门资产目录预编目，配合数据管理部门落实“一数一源”工作，完成资产目录确源确权（线上确源任务与线下确源工作同步开展），输出完整的《数据资产目录》进行校内公示。</w:t>
            </w:r>
          </w:p>
        </w:tc>
      </w:tr>
      <w:tr>
        <w:tc>
          <w:tcPr>
            <w:tcW w:type="dxa" w:w="2076"/>
          </w:tcPr>
          <w:p/>
        </w:tc>
        <w:tc>
          <w:tcPr>
            <w:tcW w:type="dxa" w:w="415"/>
          </w:tcPr>
          <w:p>
            <w:pPr>
              <w:pStyle w:val="null3"/>
            </w:pPr>
            <w:r>
              <w:rPr/>
              <w:t>3</w:t>
            </w:r>
          </w:p>
        </w:tc>
        <w:tc>
          <w:tcPr>
            <w:tcW w:type="dxa" w:w="5814"/>
          </w:tcPr>
          <w:p>
            <w:pPr>
              <w:pStyle w:val="null3"/>
            </w:pPr>
            <w:r>
              <w:rPr/>
              <w:t>3.交付物：</w:t>
            </w:r>
          </w:p>
          <w:p>
            <w:pPr>
              <w:pStyle w:val="null3"/>
            </w:pPr>
            <w:r>
              <w:rPr/>
              <w:t>1)业务部门确源确权任务文档。</w:t>
            </w:r>
          </w:p>
        </w:tc>
      </w:tr>
      <w:tr>
        <w:tc>
          <w:tcPr>
            <w:tcW w:type="dxa" w:w="2076"/>
          </w:tcPr>
          <w:p/>
        </w:tc>
        <w:tc>
          <w:tcPr>
            <w:tcW w:type="dxa" w:w="415"/>
          </w:tcPr>
          <w:p>
            <w:pPr>
              <w:pStyle w:val="null3"/>
            </w:pPr>
            <w:r>
              <w:rPr/>
              <w:t>4</w:t>
            </w:r>
          </w:p>
        </w:tc>
        <w:tc>
          <w:tcPr>
            <w:tcW w:type="dxa" w:w="5814"/>
          </w:tcPr>
          <w:p>
            <w:pPr>
              <w:pStyle w:val="null3"/>
            </w:pPr>
            <w:r>
              <w:rPr/>
              <w:t>2)部门资产中心服务：从部门的视角管理与运营本部门资产，提供查看部门资产概览，处理确源确权任务，申请审批任务，提出资产编目、变更、上下架申请服务。数据开放统计服务：提供查看统一数据资产服务平台的统计信息服务，可以整体概览全校资产开放与服务情况。个人中心服务：从单个用户的视角管理资产，提供从概览、资产审批、质量工单、我的申请、我的数据、我的反馈、我的评价等方面的服务，让用户方便快速办理审批与工单事务、查看申请进度与已经获得的数据服务。</w:t>
            </w:r>
          </w:p>
        </w:tc>
      </w:tr>
      <w:tr>
        <w:tc>
          <w:tcPr>
            <w:tcW w:type="dxa" w:w="2076"/>
          </w:tcPr>
          <w:p/>
        </w:tc>
        <w:tc>
          <w:tcPr>
            <w:tcW w:type="dxa" w:w="415"/>
          </w:tcPr>
          <w:p>
            <w:pPr>
              <w:pStyle w:val="null3"/>
            </w:pPr>
            <w:r>
              <w:rPr/>
              <w:t>5</w:t>
            </w:r>
          </w:p>
        </w:tc>
        <w:tc>
          <w:tcPr>
            <w:tcW w:type="dxa" w:w="5814"/>
          </w:tcPr>
          <w:p>
            <w:pPr>
              <w:pStyle w:val="null3"/>
            </w:pPr>
            <w:r>
              <w:rPr/>
              <w:t>3)第三方数据申请服务：开放第三方数据申请服务，通过提供第三方数据接口服务形式进行数据共享，支持接口快速调用，在线接口调试和接口消息提醒功能等服务，包括输入、输出接口调用，汇集权威数据，按照业务域分类进行数据表接口查找和调用，提供统一的接口管理，全面，精准的接口查找，通过在线调试和检查，快速调用和集成，实时反馈API的交互情况，快速解决问题，进而实现数据间共享管理，为后续AI 模型训练引入更丰富的数据资源。</w:t>
            </w:r>
          </w:p>
        </w:tc>
      </w:tr>
      <w:tr>
        <w:tc>
          <w:tcPr>
            <w:tcW w:type="dxa" w:w="2076"/>
          </w:tcPr>
          <w:p>
            <w:pPr>
              <w:pStyle w:val="null3"/>
            </w:pPr>
            <w:r>
              <w:rPr/>
              <w:t>说明</w:t>
            </w:r>
          </w:p>
        </w:tc>
        <w:tc>
          <w:tcPr>
            <w:tcW w:type="dxa" w:w="6229"/>
            <w:gridSpan w:val="2"/>
          </w:tcPr>
          <w:p>
            <w:pPr>
              <w:pStyle w:val="null3"/>
              <w:jc w:val="left"/>
            </w:pPr>
            <w:r>
              <w:rPr/>
              <w:t xml:space="preserve"> 打“★”号条款为实质性条款，若有任何一条负偏离或不满足则导致投标无效。 </w:t>
            </w:r>
            <w:r>
              <w:br/>
            </w:r>
            <w:r>
              <w:rPr/>
              <w:t>打“▲”号条款为重要技术参数，若有部分“▲”条款未响应或不满足，不作为无效投标条款。</w:t>
            </w:r>
          </w:p>
        </w:tc>
      </w:tr>
    </w:tbl>
    <w:p>
      <w:pPr>
        <w:pStyle w:val="null3"/>
      </w:pPr>
      <w:r>
        <w:rPr>
          <w:b/>
        </w:rPr>
        <w:t>附表</w:t>
      </w:r>
      <w:r>
        <w:rPr>
          <w:b/>
        </w:rPr>
        <w:t>十五</w:t>
      </w:r>
      <w:r>
        <w:rPr>
          <w:b/>
        </w:rPr>
        <w:t>：</w:t>
      </w:r>
      <w:r>
        <w:rPr>
          <w:b/>
        </w:rPr>
        <w:t>校情概况驾驶舱</w:t>
      </w:r>
    </w:p>
    <w:tbl>
      <w:tblPr>
        <w:tblW w:w="0" w:type="auto"/>
        <w:tblBorders>
          <w:top w:val="single"/>
          <w:left w:val="single"/>
          <w:bottom w:val="single"/>
          <w:right w:val="single"/>
          <w:insideH w:val="single"/>
          <w:insideV w:val="single"/>
        </w:tblBorders>
      </w:tblPr>
      <w:tblGrid>
        <w:gridCol w:w="2076"/>
        <w:gridCol w:w="415"/>
        <w:gridCol w:w="5814"/>
      </w:tblGrid>
      <w:tr>
        <w:tc>
          <w:tcPr>
            <w:tcW w:type="dxa" w:w="2076"/>
          </w:tcPr>
          <w:p>
            <w:pPr>
              <w:pStyle w:val="null3"/>
            </w:pPr>
            <w:r>
              <w:rPr/>
              <w:t>参数性质</w:t>
            </w:r>
          </w:p>
        </w:tc>
        <w:tc>
          <w:tcPr>
            <w:tcW w:type="dxa" w:w="415"/>
          </w:tcPr>
          <w:p>
            <w:pPr>
              <w:pStyle w:val="null3"/>
            </w:pPr>
            <w:r>
              <w:rPr/>
              <w:t>序号</w:t>
            </w:r>
          </w:p>
        </w:tc>
        <w:tc>
          <w:tcPr>
            <w:tcW w:type="dxa" w:w="5814"/>
          </w:tcPr>
          <w:p>
            <w:pPr>
              <w:pStyle w:val="null3"/>
            </w:pPr>
            <w:r>
              <w:rPr/>
              <w:t>具体技术(参数)要求</w:t>
            </w:r>
          </w:p>
        </w:tc>
      </w:tr>
      <w:tr>
        <w:tc>
          <w:tcPr>
            <w:tcW w:type="dxa" w:w="2076"/>
          </w:tcPr>
          <w:p/>
        </w:tc>
        <w:tc>
          <w:tcPr>
            <w:tcW w:type="dxa" w:w="415"/>
          </w:tcPr>
          <w:p>
            <w:pPr>
              <w:pStyle w:val="null3"/>
            </w:pPr>
            <w:r>
              <w:rPr/>
              <w:t>1</w:t>
            </w:r>
          </w:p>
        </w:tc>
        <w:tc>
          <w:tcPr>
            <w:tcW w:type="dxa" w:w="5814"/>
          </w:tcPr>
          <w:p>
            <w:pPr>
              <w:pStyle w:val="null3"/>
            </w:pPr>
            <w:r>
              <w:rPr>
                <w:sz w:val="21"/>
              </w:rPr>
              <w:t>展示从高校办学历史、办学荣誉、学校规模、人才培养、师资队伍建设、教学建设、教学成果、产学融合、科研水平等多视角出发，展示宏观层面高校建设情况。</w:t>
            </w:r>
          </w:p>
        </w:tc>
      </w:tr>
      <w:tr>
        <w:tc>
          <w:tcPr>
            <w:tcW w:type="dxa" w:w="2076"/>
          </w:tcPr>
          <w:p>
            <w:pPr>
              <w:pStyle w:val="null3"/>
            </w:pPr>
            <w:r>
              <w:rPr/>
              <w:t>说明</w:t>
            </w:r>
          </w:p>
        </w:tc>
        <w:tc>
          <w:tcPr>
            <w:tcW w:type="dxa" w:w="6229"/>
            <w:gridSpan w:val="2"/>
          </w:tcPr>
          <w:p>
            <w:pPr>
              <w:pStyle w:val="null3"/>
              <w:jc w:val="left"/>
            </w:pPr>
            <w:r>
              <w:rPr/>
              <w:t xml:space="preserve"> 打“★”号条款为实质性条款，若有任何一条负偏离或不满足则导致投标无效。 </w:t>
            </w:r>
            <w:r>
              <w:br/>
            </w:r>
            <w:r>
              <w:rPr/>
              <w:t>打“▲”号条款为重要技术参数，若有部分“▲”条款未响应或不满足，不作为无效投标条款。</w:t>
            </w:r>
          </w:p>
        </w:tc>
      </w:tr>
    </w:tbl>
    <w:p>
      <w:pPr>
        <w:pStyle w:val="null3"/>
      </w:pPr>
      <w:r>
        <w:rPr>
          <w:b/>
        </w:rPr>
        <w:t>附表</w:t>
      </w:r>
      <w:r>
        <w:rPr>
          <w:b/>
        </w:rPr>
        <w:t>十六</w:t>
      </w:r>
      <w:r>
        <w:rPr>
          <w:b/>
        </w:rPr>
        <w:t>：</w:t>
      </w:r>
      <w:r>
        <w:rPr>
          <w:b/>
        </w:rPr>
        <w:t>师资力量驾驶舱</w:t>
      </w:r>
    </w:p>
    <w:tbl>
      <w:tblPr>
        <w:tblW w:w="0" w:type="auto"/>
        <w:tblBorders>
          <w:top w:val="single"/>
          <w:left w:val="single"/>
          <w:bottom w:val="single"/>
          <w:right w:val="single"/>
          <w:insideH w:val="single"/>
          <w:insideV w:val="single"/>
        </w:tblBorders>
      </w:tblPr>
      <w:tblGrid>
        <w:gridCol w:w="2076"/>
        <w:gridCol w:w="415"/>
        <w:gridCol w:w="5814"/>
      </w:tblGrid>
      <w:tr>
        <w:tc>
          <w:tcPr>
            <w:tcW w:type="dxa" w:w="2076"/>
          </w:tcPr>
          <w:p>
            <w:pPr>
              <w:pStyle w:val="null3"/>
            </w:pPr>
            <w:r>
              <w:rPr/>
              <w:t>参数性质</w:t>
            </w:r>
          </w:p>
        </w:tc>
        <w:tc>
          <w:tcPr>
            <w:tcW w:type="dxa" w:w="415"/>
          </w:tcPr>
          <w:p>
            <w:pPr>
              <w:pStyle w:val="null3"/>
            </w:pPr>
            <w:r>
              <w:rPr/>
              <w:t>序号</w:t>
            </w:r>
          </w:p>
        </w:tc>
        <w:tc>
          <w:tcPr>
            <w:tcW w:type="dxa" w:w="5814"/>
          </w:tcPr>
          <w:p>
            <w:pPr>
              <w:pStyle w:val="null3"/>
            </w:pPr>
            <w:r>
              <w:rPr/>
              <w:t>具体技术(参数)要求</w:t>
            </w:r>
          </w:p>
        </w:tc>
      </w:tr>
      <w:tr>
        <w:tc>
          <w:tcPr>
            <w:tcW w:type="dxa" w:w="2076"/>
          </w:tcPr>
          <w:p/>
        </w:tc>
        <w:tc>
          <w:tcPr>
            <w:tcW w:type="dxa" w:w="415"/>
          </w:tcPr>
          <w:p>
            <w:pPr>
              <w:pStyle w:val="null3"/>
            </w:pPr>
            <w:r>
              <w:rPr/>
              <w:t>1</w:t>
            </w:r>
          </w:p>
        </w:tc>
        <w:tc>
          <w:tcPr>
            <w:tcW w:type="dxa" w:w="5814"/>
          </w:tcPr>
          <w:p>
            <w:pPr>
              <w:pStyle w:val="null3"/>
            </w:pPr>
            <w:r>
              <w:rPr>
                <w:sz w:val="21"/>
              </w:rPr>
              <w:t>展示师资队伍以职工人数这一一级指标展开多维组合分析，描述高校师资队伍的人员结构、各年龄段职级分布、学位分布、高职称专任教师历年人数、高水平教学团队数量、生师比、高层次人才趋势分布、教师人员引进与流失趋势等，便于高校管理者评估师资队伍结构的健康程度以及尖端优秀师资储备与影响力、判断师资人数是否满足学生发展及机构运行需求。</w:t>
            </w:r>
          </w:p>
        </w:tc>
      </w:tr>
      <w:tr>
        <w:tc>
          <w:tcPr>
            <w:tcW w:type="dxa" w:w="2076"/>
          </w:tcPr>
          <w:p>
            <w:pPr>
              <w:pStyle w:val="null3"/>
            </w:pPr>
            <w:r>
              <w:rPr/>
              <w:t>说明</w:t>
            </w:r>
          </w:p>
        </w:tc>
        <w:tc>
          <w:tcPr>
            <w:tcW w:type="dxa" w:w="6229"/>
            <w:gridSpan w:val="2"/>
          </w:tcPr>
          <w:p>
            <w:pPr>
              <w:pStyle w:val="null3"/>
              <w:jc w:val="left"/>
            </w:pPr>
            <w:r>
              <w:rPr/>
              <w:t xml:space="preserve"> 打“★”号条款为实质性条款，若有任何一条负偏离或不满足则导致投标无效。 </w:t>
            </w:r>
            <w:r>
              <w:br/>
            </w:r>
            <w:r>
              <w:rPr/>
              <w:t>打“▲”号条款为重要技术参数，若有部分“▲”条款未响应或不满足，不作为无效投标条款。</w:t>
            </w:r>
          </w:p>
        </w:tc>
      </w:tr>
    </w:tbl>
    <w:p>
      <w:pPr>
        <w:pStyle w:val="null3"/>
      </w:pPr>
      <w:r>
        <w:rPr>
          <w:b/>
        </w:rPr>
        <w:t>附表</w:t>
      </w:r>
      <w:r>
        <w:rPr>
          <w:b/>
        </w:rPr>
        <w:t>十七</w:t>
      </w:r>
      <w:r>
        <w:rPr>
          <w:b/>
        </w:rPr>
        <w:t>：</w:t>
      </w:r>
      <w:r>
        <w:rPr>
          <w:b/>
        </w:rPr>
        <w:t>学生工作驾驶舱</w:t>
      </w:r>
    </w:p>
    <w:tbl>
      <w:tblPr>
        <w:tblW w:w="0" w:type="auto"/>
        <w:tblBorders>
          <w:top w:val="single"/>
          <w:left w:val="single"/>
          <w:bottom w:val="single"/>
          <w:right w:val="single"/>
          <w:insideH w:val="single"/>
          <w:insideV w:val="single"/>
        </w:tblBorders>
      </w:tblPr>
      <w:tblGrid>
        <w:gridCol w:w="2076"/>
        <w:gridCol w:w="415"/>
        <w:gridCol w:w="5814"/>
      </w:tblGrid>
      <w:tr>
        <w:tc>
          <w:tcPr>
            <w:tcW w:type="dxa" w:w="2076"/>
          </w:tcPr>
          <w:p>
            <w:pPr>
              <w:pStyle w:val="null3"/>
            </w:pPr>
            <w:r>
              <w:rPr/>
              <w:t>参数性质</w:t>
            </w:r>
          </w:p>
        </w:tc>
        <w:tc>
          <w:tcPr>
            <w:tcW w:type="dxa" w:w="415"/>
          </w:tcPr>
          <w:p>
            <w:pPr>
              <w:pStyle w:val="null3"/>
            </w:pPr>
            <w:r>
              <w:rPr/>
              <w:t>序号</w:t>
            </w:r>
          </w:p>
        </w:tc>
        <w:tc>
          <w:tcPr>
            <w:tcW w:type="dxa" w:w="5814"/>
          </w:tcPr>
          <w:p>
            <w:pPr>
              <w:pStyle w:val="null3"/>
            </w:pPr>
            <w:r>
              <w:rPr/>
              <w:t>具体技术(参数)要求</w:t>
            </w:r>
          </w:p>
        </w:tc>
      </w:tr>
      <w:tr>
        <w:tc>
          <w:tcPr>
            <w:tcW w:type="dxa" w:w="2076"/>
          </w:tcPr>
          <w:p/>
        </w:tc>
        <w:tc>
          <w:tcPr>
            <w:tcW w:type="dxa" w:w="415"/>
          </w:tcPr>
          <w:p>
            <w:pPr>
              <w:pStyle w:val="null3"/>
            </w:pPr>
            <w:r>
              <w:rPr/>
              <w:t>1</w:t>
            </w:r>
          </w:p>
        </w:tc>
        <w:tc>
          <w:tcPr>
            <w:tcW w:type="dxa" w:w="5814"/>
          </w:tcPr>
          <w:p>
            <w:pPr>
              <w:pStyle w:val="null3"/>
            </w:pPr>
            <w:r>
              <w:rPr>
                <w:sz w:val="21"/>
              </w:rPr>
              <w:t>展示学生工作从基本情况、结构分析、学生获奖、综测排名、德育队伍、奖助育人等展示了高校的学生管理工作。包含以下几部分的数据内容：（</w:t>
            </w:r>
            <w:r>
              <w:rPr>
                <w:sz w:val="21"/>
              </w:rPr>
              <w:t>1）在籍</w:t>
            </w:r>
            <w:r>
              <w:rPr>
                <w:sz w:val="21"/>
                <w:color w:val="000000"/>
              </w:rPr>
              <w:t>学生</w:t>
            </w:r>
            <w:r>
              <w:rPr>
                <w:sz w:val="21"/>
              </w:rPr>
              <w:t>人数以及性别比例、新生人数、毕业人数、就业率；</w:t>
            </w:r>
            <w:r>
              <w:rPr>
                <w:sz w:val="21"/>
              </w:rPr>
              <w:t>2)</w:t>
            </w:r>
            <w:r>
              <w:rPr>
                <w:sz w:val="21"/>
              </w:rPr>
              <w:t>结构分析：年级分布、少数民族分布、各学院人数分布；</w:t>
            </w:r>
            <w:r>
              <w:rPr>
                <w:sz w:val="21"/>
              </w:rPr>
              <w:t>3)</w:t>
            </w:r>
            <w:r>
              <w:rPr>
                <w:sz w:val="21"/>
              </w:rPr>
              <w:t>德育队伍：思政教师人数、班主任人数、辅导员人数；</w:t>
            </w:r>
            <w:r>
              <w:rPr>
                <w:sz w:val="21"/>
              </w:rPr>
              <w:t>4)</w:t>
            </w:r>
            <w:r>
              <w:rPr>
                <w:sz w:val="21"/>
              </w:rPr>
              <w:t>各学院综测均分排行；</w:t>
            </w:r>
            <w:r>
              <w:rPr>
                <w:sz w:val="21"/>
              </w:rPr>
              <w:t>5)</w:t>
            </w:r>
            <w:r>
              <w:rPr>
                <w:sz w:val="21"/>
              </w:rPr>
              <w:t>学校奖助育人工作情况；</w:t>
            </w:r>
            <w:r>
              <w:rPr>
                <w:sz w:val="21"/>
              </w:rPr>
              <w:t>6)</w:t>
            </w:r>
            <w:r>
              <w:rPr>
                <w:sz w:val="21"/>
              </w:rPr>
              <w:t>学生获奖情况。</w:t>
            </w:r>
          </w:p>
        </w:tc>
      </w:tr>
      <w:tr>
        <w:tc>
          <w:tcPr>
            <w:tcW w:type="dxa" w:w="2076"/>
          </w:tcPr>
          <w:p>
            <w:pPr>
              <w:pStyle w:val="null3"/>
            </w:pPr>
            <w:r>
              <w:rPr/>
              <w:t>说明</w:t>
            </w:r>
          </w:p>
        </w:tc>
        <w:tc>
          <w:tcPr>
            <w:tcW w:type="dxa" w:w="6229"/>
            <w:gridSpan w:val="2"/>
          </w:tcPr>
          <w:p>
            <w:pPr>
              <w:pStyle w:val="null3"/>
              <w:jc w:val="left"/>
            </w:pPr>
            <w:r>
              <w:rPr/>
              <w:t xml:space="preserve"> 打“★”号条款为实质性条款，若有任何一条负偏离或不满足则导致投标无效。 </w:t>
            </w:r>
            <w:r>
              <w:br/>
            </w:r>
            <w:r>
              <w:rPr/>
              <w:t>打“▲”号条款为重要技术参数，若有部分“▲”条款未响应或不满足，不作为无效投标条款。</w:t>
            </w:r>
          </w:p>
        </w:tc>
      </w:tr>
    </w:tbl>
    <w:p>
      <w:pPr>
        <w:pStyle w:val="null3"/>
      </w:pPr>
      <w:r>
        <w:rPr>
          <w:b/>
        </w:rPr>
        <w:t>附表</w:t>
      </w:r>
      <w:r>
        <w:rPr>
          <w:b/>
        </w:rPr>
        <w:t>十八</w:t>
      </w:r>
      <w:r>
        <w:rPr>
          <w:b/>
        </w:rPr>
        <w:t>：</w:t>
      </w:r>
      <w:r>
        <w:rPr>
          <w:b/>
        </w:rPr>
        <w:t>学籍监控驾驶舱</w:t>
      </w:r>
    </w:p>
    <w:tbl>
      <w:tblPr>
        <w:tblW w:w="0" w:type="auto"/>
        <w:tblBorders>
          <w:top w:val="single"/>
          <w:left w:val="single"/>
          <w:bottom w:val="single"/>
          <w:right w:val="single"/>
          <w:insideH w:val="single"/>
          <w:insideV w:val="single"/>
        </w:tblBorders>
      </w:tblPr>
      <w:tblGrid>
        <w:gridCol w:w="2076"/>
        <w:gridCol w:w="415"/>
        <w:gridCol w:w="5814"/>
      </w:tblGrid>
      <w:tr>
        <w:tc>
          <w:tcPr>
            <w:tcW w:type="dxa" w:w="2076"/>
          </w:tcPr>
          <w:p>
            <w:pPr>
              <w:pStyle w:val="null3"/>
            </w:pPr>
            <w:r>
              <w:rPr/>
              <w:t>参数性质</w:t>
            </w:r>
          </w:p>
        </w:tc>
        <w:tc>
          <w:tcPr>
            <w:tcW w:type="dxa" w:w="415"/>
          </w:tcPr>
          <w:p>
            <w:pPr>
              <w:pStyle w:val="null3"/>
            </w:pPr>
            <w:r>
              <w:rPr/>
              <w:t>序号</w:t>
            </w:r>
          </w:p>
        </w:tc>
        <w:tc>
          <w:tcPr>
            <w:tcW w:type="dxa" w:w="5814"/>
          </w:tcPr>
          <w:p>
            <w:pPr>
              <w:pStyle w:val="null3"/>
            </w:pPr>
            <w:r>
              <w:rPr/>
              <w:t>具体技术(参数)要求</w:t>
            </w:r>
          </w:p>
        </w:tc>
      </w:tr>
      <w:tr>
        <w:tc>
          <w:tcPr>
            <w:tcW w:type="dxa" w:w="2076"/>
          </w:tcPr>
          <w:p/>
        </w:tc>
        <w:tc>
          <w:tcPr>
            <w:tcW w:type="dxa" w:w="415"/>
          </w:tcPr>
          <w:p>
            <w:pPr>
              <w:pStyle w:val="null3"/>
            </w:pPr>
            <w:r>
              <w:rPr/>
              <w:t>1</w:t>
            </w:r>
          </w:p>
        </w:tc>
        <w:tc>
          <w:tcPr>
            <w:tcW w:type="dxa" w:w="5814"/>
          </w:tcPr>
          <w:p>
            <w:pPr>
              <w:pStyle w:val="null3"/>
            </w:pPr>
            <w:r>
              <w:rPr>
                <w:sz w:val="21"/>
              </w:rPr>
              <w:t>展示学籍管理聚焦于学籍管理业务，统计当前学生的在籍在校状态，学籍异动人数趋势，了解异常的学籍变化情况以及变动原因，各学院学生转入转出率等指标为管理者掌握全校学生的状态提供参考依据。通过监测异常的学籍变化，管理者可以及时发现并解决问题。分析转入率转出率促进学院管理者提高学院吸引力，增加学生留存率，帮助管理者更好地分配教育资源。</w:t>
            </w:r>
          </w:p>
        </w:tc>
      </w:tr>
      <w:tr>
        <w:tc>
          <w:tcPr>
            <w:tcW w:type="dxa" w:w="2076"/>
          </w:tcPr>
          <w:p>
            <w:pPr>
              <w:pStyle w:val="null3"/>
            </w:pPr>
            <w:r>
              <w:rPr/>
              <w:t>说明</w:t>
            </w:r>
          </w:p>
        </w:tc>
        <w:tc>
          <w:tcPr>
            <w:tcW w:type="dxa" w:w="6229"/>
            <w:gridSpan w:val="2"/>
          </w:tcPr>
          <w:p>
            <w:pPr>
              <w:pStyle w:val="null3"/>
              <w:jc w:val="left"/>
            </w:pPr>
            <w:r>
              <w:rPr/>
              <w:t xml:space="preserve"> 打“★”号条款为实质性条款，若有任何一条负偏离或不满足则导致投标无效。 </w:t>
            </w:r>
            <w:r>
              <w:br/>
            </w:r>
            <w:r>
              <w:rPr/>
              <w:t>打“▲”号条款为重要技术参数，若有部分“▲”条款未响应或不满足，不作为无效投标条款。</w:t>
            </w:r>
          </w:p>
        </w:tc>
      </w:tr>
    </w:tbl>
    <w:p>
      <w:pPr>
        <w:pStyle w:val="null3"/>
      </w:pPr>
      <w:r>
        <w:rPr>
          <w:b/>
        </w:rPr>
        <w:t>附表</w:t>
      </w:r>
      <w:r>
        <w:rPr>
          <w:b/>
        </w:rPr>
        <w:t>十九</w:t>
      </w:r>
      <w:r>
        <w:rPr>
          <w:b/>
        </w:rPr>
        <w:t>：</w:t>
      </w:r>
      <w:r>
        <w:rPr>
          <w:b/>
        </w:rPr>
        <w:t>数字智治驾驶舱</w:t>
      </w:r>
    </w:p>
    <w:tbl>
      <w:tblPr>
        <w:tblW w:w="0" w:type="auto"/>
        <w:tblBorders>
          <w:top w:val="single"/>
          <w:left w:val="single"/>
          <w:bottom w:val="single"/>
          <w:right w:val="single"/>
          <w:insideH w:val="single"/>
          <w:insideV w:val="single"/>
        </w:tblBorders>
      </w:tblPr>
      <w:tblGrid>
        <w:gridCol w:w="2076"/>
        <w:gridCol w:w="415"/>
        <w:gridCol w:w="5814"/>
      </w:tblGrid>
      <w:tr>
        <w:tc>
          <w:tcPr>
            <w:tcW w:type="dxa" w:w="2076"/>
          </w:tcPr>
          <w:p>
            <w:pPr>
              <w:pStyle w:val="null3"/>
            </w:pPr>
            <w:r>
              <w:rPr/>
              <w:t>参数性质</w:t>
            </w:r>
          </w:p>
        </w:tc>
        <w:tc>
          <w:tcPr>
            <w:tcW w:type="dxa" w:w="415"/>
          </w:tcPr>
          <w:p>
            <w:pPr>
              <w:pStyle w:val="null3"/>
            </w:pPr>
            <w:r>
              <w:rPr/>
              <w:t>序号</w:t>
            </w:r>
          </w:p>
        </w:tc>
        <w:tc>
          <w:tcPr>
            <w:tcW w:type="dxa" w:w="5814"/>
          </w:tcPr>
          <w:p>
            <w:pPr>
              <w:pStyle w:val="null3"/>
            </w:pPr>
            <w:r>
              <w:rPr/>
              <w:t>具体技术(参数)要求</w:t>
            </w:r>
          </w:p>
        </w:tc>
      </w:tr>
      <w:tr>
        <w:tc>
          <w:tcPr>
            <w:tcW w:type="dxa" w:w="2076"/>
          </w:tcPr>
          <w:p/>
        </w:tc>
        <w:tc>
          <w:tcPr>
            <w:tcW w:type="dxa" w:w="415"/>
          </w:tcPr>
          <w:p>
            <w:pPr>
              <w:pStyle w:val="null3"/>
            </w:pPr>
            <w:r>
              <w:rPr/>
              <w:t>1</w:t>
            </w:r>
          </w:p>
        </w:tc>
        <w:tc>
          <w:tcPr>
            <w:tcW w:type="dxa" w:w="5814"/>
          </w:tcPr>
          <w:p>
            <w:pPr>
              <w:pStyle w:val="null3"/>
            </w:pPr>
            <w:r>
              <w:rPr>
                <w:sz w:val="21"/>
              </w:rPr>
              <w:t>展示办事中心效能：对接办事大厅等服务渠道数据，分析办事大厅事务</w:t>
            </w:r>
            <w:r>
              <w:rPr>
                <w:sz w:val="21"/>
              </w:rPr>
              <w:t>Top、部门办理Top、服务办理趋势等指标，评估线上事务处理效率。帮助管理者了解哪些部门工作负荷较重，识别潜在的瓶颈和滞后点，从而更合理地分配资源，确保高效服务。</w:t>
            </w:r>
          </w:p>
        </w:tc>
      </w:tr>
      <w:tr>
        <w:tc>
          <w:tcPr>
            <w:tcW w:type="dxa" w:w="2076"/>
          </w:tcPr>
          <w:p>
            <w:pPr>
              <w:pStyle w:val="null3"/>
            </w:pPr>
            <w:r>
              <w:rPr/>
              <w:t>说明</w:t>
            </w:r>
          </w:p>
        </w:tc>
        <w:tc>
          <w:tcPr>
            <w:tcW w:type="dxa" w:w="6229"/>
            <w:gridSpan w:val="2"/>
          </w:tcPr>
          <w:p>
            <w:pPr>
              <w:pStyle w:val="null3"/>
              <w:jc w:val="left"/>
            </w:pPr>
            <w:r>
              <w:rPr/>
              <w:t xml:space="preserve"> 打“★”号条款为实质性条款，若有任何一条负偏离或不满足则导致投标无效。 </w:t>
            </w:r>
            <w:r>
              <w:br/>
            </w:r>
            <w:r>
              <w:rPr/>
              <w:t>打“▲”号条款为重要技术参数，若有部分“▲”条款未响应或不满足，不作为无效投标条款。</w:t>
            </w:r>
          </w:p>
        </w:tc>
      </w:tr>
    </w:tbl>
    <w:p>
      <w:pPr>
        <w:pStyle w:val="null3"/>
      </w:pPr>
      <w:r>
        <w:rPr>
          <w:b/>
        </w:rPr>
        <w:t>附表</w:t>
      </w:r>
      <w:r>
        <w:rPr>
          <w:b/>
        </w:rPr>
        <w:t>二十</w:t>
      </w:r>
      <w:r>
        <w:rPr>
          <w:b/>
        </w:rPr>
        <w:t>：</w:t>
      </w:r>
      <w:r>
        <w:rPr>
          <w:b/>
        </w:rPr>
        <w:t>数字教学驾驶舱</w:t>
      </w:r>
    </w:p>
    <w:tbl>
      <w:tblPr>
        <w:tblW w:w="0" w:type="auto"/>
        <w:tblBorders>
          <w:top w:val="single"/>
          <w:left w:val="single"/>
          <w:bottom w:val="single"/>
          <w:right w:val="single"/>
          <w:insideH w:val="single"/>
          <w:insideV w:val="single"/>
        </w:tblBorders>
      </w:tblPr>
      <w:tblGrid>
        <w:gridCol w:w="2076"/>
        <w:gridCol w:w="415"/>
        <w:gridCol w:w="5814"/>
      </w:tblGrid>
      <w:tr>
        <w:tc>
          <w:tcPr>
            <w:tcW w:type="dxa" w:w="2076"/>
          </w:tcPr>
          <w:p>
            <w:pPr>
              <w:pStyle w:val="null3"/>
            </w:pPr>
            <w:r>
              <w:rPr/>
              <w:t>参数性质</w:t>
            </w:r>
          </w:p>
        </w:tc>
        <w:tc>
          <w:tcPr>
            <w:tcW w:type="dxa" w:w="415"/>
          </w:tcPr>
          <w:p>
            <w:pPr>
              <w:pStyle w:val="null3"/>
            </w:pPr>
            <w:r>
              <w:rPr/>
              <w:t>序号</w:t>
            </w:r>
          </w:p>
        </w:tc>
        <w:tc>
          <w:tcPr>
            <w:tcW w:type="dxa" w:w="5814"/>
          </w:tcPr>
          <w:p>
            <w:pPr>
              <w:pStyle w:val="null3"/>
            </w:pPr>
            <w:r>
              <w:rPr/>
              <w:t>具体技术(参数)要求</w:t>
            </w:r>
          </w:p>
        </w:tc>
      </w:tr>
      <w:tr>
        <w:tc>
          <w:tcPr>
            <w:tcW w:type="dxa" w:w="2076"/>
          </w:tcPr>
          <w:p/>
        </w:tc>
        <w:tc>
          <w:tcPr>
            <w:tcW w:type="dxa" w:w="415"/>
          </w:tcPr>
          <w:p>
            <w:pPr>
              <w:pStyle w:val="null3"/>
            </w:pPr>
            <w:r>
              <w:rPr/>
              <w:t>1</w:t>
            </w:r>
          </w:p>
        </w:tc>
        <w:tc>
          <w:tcPr>
            <w:tcW w:type="dxa" w:w="5814"/>
          </w:tcPr>
          <w:p>
            <w:pPr>
              <w:pStyle w:val="null3"/>
            </w:pPr>
            <w:r>
              <w:rPr>
                <w:sz w:val="21"/>
              </w:rPr>
              <w:t>展示高校的开排选课、教师授课、排考、教学资源安排等业务对教务运行情况进行宏观描述，重点关注各课程性质的开课门数、各学院开课门数</w:t>
            </w:r>
            <w:r>
              <w:rPr>
                <w:sz w:val="21"/>
              </w:rPr>
              <w:t>/门次、公选课热门课程Top5、各学院排考进度、各教学场所的今日空闲数量及利用率并为教务管理人员对课程、教学场所安排及教师教学做合理调整提供依据。</w:t>
            </w:r>
          </w:p>
        </w:tc>
      </w:tr>
      <w:tr>
        <w:tc>
          <w:tcPr>
            <w:tcW w:type="dxa" w:w="2076"/>
          </w:tcPr>
          <w:p>
            <w:pPr>
              <w:pStyle w:val="null3"/>
            </w:pPr>
            <w:r>
              <w:rPr/>
              <w:t>说明</w:t>
            </w:r>
          </w:p>
        </w:tc>
        <w:tc>
          <w:tcPr>
            <w:tcW w:type="dxa" w:w="6229"/>
            <w:gridSpan w:val="2"/>
          </w:tcPr>
          <w:p>
            <w:pPr>
              <w:pStyle w:val="null3"/>
              <w:jc w:val="left"/>
            </w:pPr>
            <w:r>
              <w:rPr/>
              <w:t xml:space="preserve"> 打“★”号条款为实质性条款，若有任何一条负偏离或不满足则导致投标无效。 </w:t>
            </w:r>
            <w:r>
              <w:br/>
            </w:r>
            <w:r>
              <w:rPr/>
              <w:t>打“▲”号条款为重要技术参数，若有部分“▲”条款未响应或不满足，不作为无效投标条款。</w:t>
            </w:r>
          </w:p>
        </w:tc>
      </w:tr>
    </w:tbl>
    <w:p>
      <w:pPr>
        <w:pStyle w:val="null3"/>
      </w:pPr>
      <w:r>
        <w:rPr>
          <w:b/>
        </w:rPr>
        <w:t>附表</w:t>
      </w:r>
      <w:r>
        <w:rPr>
          <w:b/>
        </w:rPr>
        <w:t>二十一</w:t>
      </w:r>
      <w:r>
        <w:rPr>
          <w:b/>
        </w:rPr>
        <w:t>：</w:t>
      </w:r>
      <w:r>
        <w:rPr>
          <w:b/>
        </w:rPr>
        <w:t>数字生活驾驶舱</w:t>
      </w:r>
    </w:p>
    <w:tbl>
      <w:tblPr>
        <w:tblW w:w="0" w:type="auto"/>
        <w:tblBorders>
          <w:top w:val="single"/>
          <w:left w:val="single"/>
          <w:bottom w:val="single"/>
          <w:right w:val="single"/>
          <w:insideH w:val="single"/>
          <w:insideV w:val="single"/>
        </w:tblBorders>
      </w:tblPr>
      <w:tblGrid>
        <w:gridCol w:w="2076"/>
        <w:gridCol w:w="415"/>
        <w:gridCol w:w="5814"/>
      </w:tblGrid>
      <w:tr>
        <w:tc>
          <w:tcPr>
            <w:tcW w:type="dxa" w:w="2076"/>
          </w:tcPr>
          <w:p>
            <w:pPr>
              <w:pStyle w:val="null3"/>
            </w:pPr>
            <w:r>
              <w:rPr/>
              <w:t>参数性质</w:t>
            </w:r>
          </w:p>
        </w:tc>
        <w:tc>
          <w:tcPr>
            <w:tcW w:type="dxa" w:w="415"/>
          </w:tcPr>
          <w:p>
            <w:pPr>
              <w:pStyle w:val="null3"/>
            </w:pPr>
            <w:r>
              <w:rPr/>
              <w:t>序号</w:t>
            </w:r>
          </w:p>
        </w:tc>
        <w:tc>
          <w:tcPr>
            <w:tcW w:type="dxa" w:w="5814"/>
          </w:tcPr>
          <w:p>
            <w:pPr>
              <w:pStyle w:val="null3"/>
            </w:pPr>
            <w:r>
              <w:rPr/>
              <w:t>具体技术(参数)要求</w:t>
            </w:r>
          </w:p>
        </w:tc>
      </w:tr>
      <w:tr>
        <w:tc>
          <w:tcPr>
            <w:tcW w:type="dxa" w:w="2076"/>
          </w:tcPr>
          <w:p/>
        </w:tc>
        <w:tc>
          <w:tcPr>
            <w:tcW w:type="dxa" w:w="415"/>
          </w:tcPr>
          <w:p>
            <w:pPr>
              <w:pStyle w:val="null3"/>
            </w:pPr>
            <w:r>
              <w:rPr/>
              <w:t>1</w:t>
            </w:r>
          </w:p>
        </w:tc>
        <w:tc>
          <w:tcPr>
            <w:tcW w:type="dxa" w:w="5814"/>
          </w:tcPr>
          <w:p>
            <w:pPr>
              <w:pStyle w:val="null3"/>
            </w:pPr>
            <w:r>
              <w:rPr>
                <w:sz w:val="21"/>
              </w:rPr>
              <w:t>展示对接一卡通消费数据及食堂物</w:t>
            </w:r>
            <w:r>
              <w:rPr>
                <w:sz w:val="21"/>
              </w:rPr>
              <w:t>POS设备展示食堂的实时消费数据分析各食堂拥挤指数，师生可以据此错峰错点就餐。同时数字生活大聚合分析历史消费信息，包含教职工和学生的就餐行为习惯（时间、地点）分析，展示消费食堂排行及各商铺消费排行，为食堂的管理建设提供参考依据，提升食堂服务水平。分析高消费预警学生、低消费预警学生，优化学生管理工作。</w:t>
            </w:r>
          </w:p>
        </w:tc>
      </w:tr>
      <w:tr>
        <w:tc>
          <w:tcPr>
            <w:tcW w:type="dxa" w:w="2076"/>
          </w:tcPr>
          <w:p>
            <w:pPr>
              <w:pStyle w:val="null3"/>
            </w:pPr>
            <w:r>
              <w:rPr/>
              <w:t>说明</w:t>
            </w:r>
          </w:p>
        </w:tc>
        <w:tc>
          <w:tcPr>
            <w:tcW w:type="dxa" w:w="6229"/>
            <w:gridSpan w:val="2"/>
          </w:tcPr>
          <w:p>
            <w:pPr>
              <w:pStyle w:val="null3"/>
              <w:jc w:val="left"/>
            </w:pPr>
            <w:r>
              <w:rPr/>
              <w:t xml:space="preserve"> 打“★”号条款为实质性条款，若有任何一条负偏离或不满足则导致投标无效。 </w:t>
            </w:r>
            <w:r>
              <w:br/>
            </w:r>
            <w:r>
              <w:rPr/>
              <w:t>打“▲”号条款为重要技术参数，若有部分“▲”条款未响应或不满足，不作为无效投标条款。</w:t>
            </w:r>
          </w:p>
        </w:tc>
      </w:tr>
    </w:tbl>
    <w:p>
      <w:pPr>
        <w:pStyle w:val="null3"/>
      </w:pPr>
      <w:r>
        <w:rPr>
          <w:b/>
        </w:rPr>
        <w:t>附表</w:t>
      </w:r>
      <w:r>
        <w:rPr>
          <w:b/>
        </w:rPr>
        <w:t>二十二</w:t>
      </w:r>
      <w:r>
        <w:rPr>
          <w:b/>
        </w:rPr>
        <w:t>：</w:t>
      </w:r>
      <w:r>
        <w:rPr>
          <w:b/>
        </w:rPr>
        <w:t>系统功能</w:t>
      </w:r>
    </w:p>
    <w:tbl>
      <w:tblPr>
        <w:tblW w:w="0" w:type="auto"/>
        <w:tblBorders>
          <w:top w:val="single"/>
          <w:left w:val="single"/>
          <w:bottom w:val="single"/>
          <w:right w:val="single"/>
          <w:insideH w:val="single"/>
          <w:insideV w:val="single"/>
        </w:tblBorders>
      </w:tblPr>
      <w:tblGrid>
        <w:gridCol w:w="2076"/>
        <w:gridCol w:w="415"/>
        <w:gridCol w:w="5814"/>
      </w:tblGrid>
      <w:tr>
        <w:tc>
          <w:tcPr>
            <w:tcW w:type="dxa" w:w="2076"/>
          </w:tcPr>
          <w:p>
            <w:pPr>
              <w:pStyle w:val="null3"/>
            </w:pPr>
            <w:r>
              <w:rPr/>
              <w:t>参数性质</w:t>
            </w:r>
          </w:p>
        </w:tc>
        <w:tc>
          <w:tcPr>
            <w:tcW w:type="dxa" w:w="415"/>
          </w:tcPr>
          <w:p>
            <w:pPr>
              <w:pStyle w:val="null3"/>
            </w:pPr>
            <w:r>
              <w:rPr/>
              <w:t>序号</w:t>
            </w:r>
          </w:p>
        </w:tc>
        <w:tc>
          <w:tcPr>
            <w:tcW w:type="dxa" w:w="5814"/>
          </w:tcPr>
          <w:p>
            <w:pPr>
              <w:pStyle w:val="null3"/>
            </w:pPr>
            <w:r>
              <w:rPr/>
              <w:t>具体技术(参数)要求</w:t>
            </w:r>
          </w:p>
        </w:tc>
      </w:tr>
      <w:tr>
        <w:tc>
          <w:tcPr>
            <w:tcW w:type="dxa" w:w="2076"/>
          </w:tcPr>
          <w:p/>
        </w:tc>
        <w:tc>
          <w:tcPr>
            <w:tcW w:type="dxa" w:w="415"/>
          </w:tcPr>
          <w:p>
            <w:pPr>
              <w:pStyle w:val="null3"/>
            </w:pPr>
            <w:r>
              <w:rPr/>
              <w:t>1</w:t>
            </w:r>
          </w:p>
        </w:tc>
        <w:tc>
          <w:tcPr>
            <w:tcW w:type="dxa" w:w="5814"/>
          </w:tcPr>
          <w:p>
            <w:pPr>
              <w:pStyle w:val="null3"/>
            </w:pPr>
            <w:r>
              <w:rPr/>
              <w:t>1.指标查询：支持驾驶舱内的指标数据查询，显示指标具体数值及数据归口部门、数据更新时间等信息。支持对用户查看数据权限进行控制。</w:t>
            </w:r>
          </w:p>
        </w:tc>
      </w:tr>
      <w:tr>
        <w:tc>
          <w:tcPr>
            <w:tcW w:type="dxa" w:w="2076"/>
          </w:tcPr>
          <w:p/>
        </w:tc>
        <w:tc>
          <w:tcPr>
            <w:tcW w:type="dxa" w:w="415"/>
          </w:tcPr>
          <w:p>
            <w:pPr>
              <w:pStyle w:val="null3"/>
            </w:pPr>
            <w:r>
              <w:rPr/>
              <w:t>2</w:t>
            </w:r>
          </w:p>
        </w:tc>
        <w:tc>
          <w:tcPr>
            <w:tcW w:type="dxa" w:w="5814"/>
          </w:tcPr>
          <w:p>
            <w:pPr>
              <w:pStyle w:val="null3"/>
            </w:pPr>
            <w:r>
              <w:rPr/>
              <w:t>2.指标文档：描述驾驶舱内指标口径及其释义的文档，具体展示指标统计口径、指标释义、指标数据来源表、数据归口部门等详细信息，提供全面的指标使用指南。可以对该页面指标进行搜索、纠错反馈及下载操作。</w:t>
            </w:r>
          </w:p>
        </w:tc>
      </w:tr>
      <w:tr>
        <w:tc>
          <w:tcPr>
            <w:tcW w:type="dxa" w:w="2076"/>
          </w:tcPr>
          <w:p/>
        </w:tc>
        <w:tc>
          <w:tcPr>
            <w:tcW w:type="dxa" w:w="415"/>
          </w:tcPr>
          <w:p>
            <w:pPr>
              <w:pStyle w:val="null3"/>
            </w:pPr>
            <w:r>
              <w:rPr/>
              <w:t>3</w:t>
            </w:r>
          </w:p>
        </w:tc>
        <w:tc>
          <w:tcPr>
            <w:tcW w:type="dxa" w:w="5814"/>
          </w:tcPr>
          <w:p>
            <w:pPr>
              <w:pStyle w:val="null3"/>
            </w:pPr>
            <w:r>
              <w:rPr/>
              <w:t>3.指标纠错：若数据应用使用者对指标数值、统计口径、数据来源等存在疑问，可通过该指标模块下的纠错反馈入口反馈给系统管理员，支持用户可上传提交佐证材料。支持对已提交但未处理的反馈进行撤回操作。“纠错-反馈”机制提供了发现数据问题渠道，在应用中促进数据质量提升。</w:t>
            </w:r>
          </w:p>
        </w:tc>
      </w:tr>
      <w:tr>
        <w:tc>
          <w:tcPr>
            <w:tcW w:type="dxa" w:w="2076"/>
          </w:tcPr>
          <w:p/>
        </w:tc>
        <w:tc>
          <w:tcPr>
            <w:tcW w:type="dxa" w:w="415"/>
          </w:tcPr>
          <w:p>
            <w:pPr>
              <w:pStyle w:val="null3"/>
            </w:pPr>
            <w:r>
              <w:rPr/>
              <w:t>4</w:t>
            </w:r>
          </w:p>
        </w:tc>
        <w:tc>
          <w:tcPr>
            <w:tcW w:type="dxa" w:w="5814"/>
          </w:tcPr>
          <w:p>
            <w:pPr>
              <w:pStyle w:val="null3"/>
            </w:pPr>
            <w:r>
              <w:rPr/>
              <w:t>4.后台管理：综合管理数据展示、指标管理、预警设置、数据安全、操作追踪、运营分析、轮播展示和系统参数配置等功能。用户可以编辑页面、维护指标、设置预警规则、保护数据安全、记录操作、分析运营数据，同时实现轮播展示和系统外观定制。这综合管理平台旨在提高数据质量、加强安全性、并优化决策过程。</w:t>
            </w:r>
          </w:p>
        </w:tc>
      </w:tr>
      <w:tr>
        <w:tc>
          <w:tcPr>
            <w:tcW w:type="dxa" w:w="2076"/>
          </w:tcPr>
          <w:p/>
        </w:tc>
        <w:tc>
          <w:tcPr>
            <w:tcW w:type="dxa" w:w="415"/>
          </w:tcPr>
          <w:p>
            <w:pPr>
              <w:pStyle w:val="null3"/>
            </w:pPr>
            <w:r>
              <w:rPr/>
              <w:t>5</w:t>
            </w:r>
          </w:p>
        </w:tc>
        <w:tc>
          <w:tcPr>
            <w:tcW w:type="dxa" w:w="5814"/>
          </w:tcPr>
          <w:p>
            <w:pPr>
              <w:pStyle w:val="null3"/>
            </w:pPr>
            <w:r>
              <w:rPr/>
              <w:t>5.驾驶舱导航：首页一站式概览学校数字高校、数字学工、数字教工、数字教务、数字生活、数字智治六大主题下的数据分析，使用卡片切换方式展示了各主题入口，翻转卡片可查看简介。</w:t>
            </w:r>
          </w:p>
        </w:tc>
      </w:tr>
      <w:tr>
        <w:tc>
          <w:tcPr>
            <w:tcW w:type="dxa" w:w="2076"/>
          </w:tcPr>
          <w:p/>
        </w:tc>
        <w:tc>
          <w:tcPr>
            <w:tcW w:type="dxa" w:w="415"/>
          </w:tcPr>
          <w:p>
            <w:pPr>
              <w:pStyle w:val="null3"/>
            </w:pPr>
            <w:r>
              <w:rPr/>
              <w:t>6</w:t>
            </w:r>
          </w:p>
        </w:tc>
        <w:tc>
          <w:tcPr>
            <w:tcW w:type="dxa" w:w="5814"/>
          </w:tcPr>
          <w:p>
            <w:pPr>
              <w:pStyle w:val="null3"/>
            </w:pPr>
            <w:r>
              <w:rPr/>
              <w:t>6.消息中心：消息中心主要展示预警、纠错、系统通知中产生的消息内容。预警消息由后台规则配置后触发产生，展示预警指标及内容。纠错由普通用户提交至系统管理者，支持系统管理员在纠错反馈中一键下载佐证材料。支持用户查看全部消息，并按照已处理，未处理筛选，支持消息处理、备注及查看相关详情服务。</w:t>
            </w:r>
          </w:p>
        </w:tc>
      </w:tr>
      <w:tr>
        <w:tc>
          <w:tcPr>
            <w:tcW w:type="dxa" w:w="2076"/>
          </w:tcPr>
          <w:p/>
        </w:tc>
        <w:tc>
          <w:tcPr>
            <w:tcW w:type="dxa" w:w="415"/>
          </w:tcPr>
          <w:p>
            <w:pPr>
              <w:pStyle w:val="null3"/>
            </w:pPr>
            <w:r>
              <w:rPr/>
              <w:t>7</w:t>
            </w:r>
          </w:p>
        </w:tc>
        <w:tc>
          <w:tcPr>
            <w:tcW w:type="dxa" w:w="5814"/>
          </w:tcPr>
          <w:p>
            <w:pPr>
              <w:pStyle w:val="null3"/>
            </w:pPr>
            <w:r>
              <w:rPr/>
              <w:t>7.轮播模式：支持选择个性化的轮播方案，进入或退出全屏轮播模式。</w:t>
            </w:r>
          </w:p>
        </w:tc>
      </w:tr>
      <w:tr>
        <w:tc>
          <w:tcPr>
            <w:tcW w:type="dxa" w:w="2076"/>
          </w:tcPr>
          <w:p>
            <w:pPr>
              <w:pStyle w:val="null3"/>
            </w:pPr>
            <w:r>
              <w:rPr/>
              <w:t>说明</w:t>
            </w:r>
          </w:p>
        </w:tc>
        <w:tc>
          <w:tcPr>
            <w:tcW w:type="dxa" w:w="6229"/>
            <w:gridSpan w:val="2"/>
          </w:tcPr>
          <w:p>
            <w:pPr>
              <w:pStyle w:val="null3"/>
              <w:jc w:val="left"/>
            </w:pPr>
            <w:r>
              <w:rPr/>
              <w:t xml:space="preserve"> 打“★”号条款为实质性条款，若有任何一条负偏离或不满足则导致投标无效。 </w:t>
            </w:r>
            <w:r>
              <w:br/>
            </w:r>
            <w:r>
              <w:rPr/>
              <w:t>打“▲”号条款为重要技术参数，若有部分“▲”条款未响应或不满足，不作为无效投标条款。</w:t>
            </w:r>
          </w:p>
        </w:tc>
      </w:tr>
    </w:tbl>
    <w:p>
      <w:pPr>
        <w:pStyle w:val="null3"/>
      </w:pPr>
      <w:r>
        <w:rPr>
          <w:b/>
        </w:rPr>
        <w:t>附表</w:t>
      </w:r>
      <w:r>
        <w:rPr>
          <w:b/>
        </w:rPr>
        <w:t>二十三</w:t>
      </w:r>
      <w:r>
        <w:rPr>
          <w:b/>
        </w:rPr>
        <w:t>：</w:t>
      </w:r>
      <w:r>
        <w:rPr>
          <w:b/>
        </w:rPr>
        <w:t>职业院校数字基座上报平台</w:t>
      </w:r>
    </w:p>
    <w:tbl>
      <w:tblPr>
        <w:tblW w:w="0" w:type="auto"/>
        <w:tblBorders>
          <w:top w:val="single"/>
          <w:left w:val="single"/>
          <w:bottom w:val="single"/>
          <w:right w:val="single"/>
          <w:insideH w:val="single"/>
          <w:insideV w:val="single"/>
        </w:tblBorders>
      </w:tblPr>
      <w:tblGrid>
        <w:gridCol w:w="2076"/>
        <w:gridCol w:w="415"/>
        <w:gridCol w:w="5814"/>
      </w:tblGrid>
      <w:tr>
        <w:tc>
          <w:tcPr>
            <w:tcW w:type="dxa" w:w="2076"/>
          </w:tcPr>
          <w:p>
            <w:pPr>
              <w:pStyle w:val="null3"/>
            </w:pPr>
            <w:r>
              <w:rPr/>
              <w:t>参数性质</w:t>
            </w:r>
          </w:p>
        </w:tc>
        <w:tc>
          <w:tcPr>
            <w:tcW w:type="dxa" w:w="415"/>
          </w:tcPr>
          <w:p>
            <w:pPr>
              <w:pStyle w:val="null3"/>
            </w:pPr>
            <w:r>
              <w:rPr/>
              <w:t>序号</w:t>
            </w:r>
          </w:p>
        </w:tc>
        <w:tc>
          <w:tcPr>
            <w:tcW w:type="dxa" w:w="5814"/>
          </w:tcPr>
          <w:p>
            <w:pPr>
              <w:pStyle w:val="null3"/>
            </w:pPr>
            <w:r>
              <w:rPr/>
              <w:t>具体技术(参数)要求</w:t>
            </w:r>
          </w:p>
        </w:tc>
      </w:tr>
      <w:tr>
        <w:tc>
          <w:tcPr>
            <w:tcW w:type="dxa" w:w="2076"/>
          </w:tcPr>
          <w:p/>
        </w:tc>
        <w:tc>
          <w:tcPr>
            <w:tcW w:type="dxa" w:w="415"/>
          </w:tcPr>
          <w:p>
            <w:pPr>
              <w:pStyle w:val="null3"/>
            </w:pPr>
            <w:r>
              <w:rPr/>
              <w:t>1</w:t>
            </w:r>
          </w:p>
        </w:tc>
        <w:tc>
          <w:tcPr>
            <w:tcW w:type="dxa" w:w="5814"/>
          </w:tcPr>
          <w:p>
            <w:pPr>
              <w:pStyle w:val="null3"/>
            </w:pPr>
            <w:r>
              <w:rPr>
                <w:sz w:val="21"/>
                <w:color w:val="000000"/>
              </w:rPr>
              <w:t>1.</w:t>
            </w:r>
            <w:r>
              <w:rPr>
                <w:sz w:val="21"/>
              </w:rPr>
              <w:t>以</w:t>
            </w:r>
            <w:r>
              <w:rPr>
                <w:sz w:val="21"/>
              </w:rPr>
              <w:t>“</w:t>
            </w:r>
            <w:r>
              <w:rPr>
                <w:sz w:val="21"/>
                <w:color w:val="000000"/>
              </w:rPr>
              <w:t>一站式</w:t>
            </w:r>
            <w:r>
              <w:rPr>
                <w:sz w:val="21"/>
              </w:rPr>
              <w:t>、智能化</w:t>
            </w:r>
            <w:r>
              <w:rPr>
                <w:sz w:val="21"/>
              </w:rPr>
              <w:t>”为建设定位，全力协助高职院校完成教育部在《职业院校数字基座高职数据标准及接口规范（试行）》文件中所规定的数据集/标准表的数据上报工作。建设目标是提高高校数据报送工作效率，保障报送数据的质量，减少人工工作量，并且提供多维度预警分析服务，让校领导实时掌握校内真实数据，与上报进度，促进高校内部信息化建设，也为后续打造数据治理体系奠定坚实基础。</w:t>
            </w:r>
          </w:p>
        </w:tc>
      </w:tr>
      <w:tr>
        <w:tc>
          <w:tcPr>
            <w:tcW w:type="dxa" w:w="2076"/>
          </w:tcPr>
          <w:p/>
        </w:tc>
        <w:tc>
          <w:tcPr>
            <w:tcW w:type="dxa" w:w="415"/>
          </w:tcPr>
          <w:p>
            <w:pPr>
              <w:pStyle w:val="null3"/>
            </w:pPr>
            <w:r>
              <w:rPr/>
              <w:t>2</w:t>
            </w:r>
          </w:p>
        </w:tc>
        <w:tc>
          <w:tcPr>
            <w:tcW w:type="dxa" w:w="5814"/>
          </w:tcPr>
          <w:p>
            <w:pPr>
              <w:pStyle w:val="null3"/>
            </w:pPr>
            <w:r>
              <w:rPr>
                <w:sz w:val="21"/>
                <w:color w:val="000000"/>
              </w:rPr>
              <w:t>2.</w:t>
            </w:r>
            <w:r>
              <w:rPr>
                <w:sz w:val="21"/>
              </w:rPr>
              <w:t>以上报职教大脑</w:t>
            </w:r>
            <w:r>
              <w:rPr>
                <w:sz w:val="21"/>
              </w:rPr>
              <w:t>98张表数据质量为要求，提供通过数据交换工具利用数据中心数据和导入线下数据两种服务方式初始化表单，支持提供按上报要求对数据开展质量核验并输出核验结果的服务，针对核验不通过的表单下发任务采集。提供业务流程设置服务，支持审核修正数据并按修正版本、原始数据版本存储。提供调度策略配置服务，系统对接教育部上报平台，执行调度策略自动上报数据，并提供上报状态和上报结果监控服务。提供按照国家文件指定的指标输出可视化服务。</w:t>
            </w:r>
          </w:p>
        </w:tc>
      </w:tr>
      <w:tr>
        <w:tc>
          <w:tcPr>
            <w:tcW w:type="dxa" w:w="2076"/>
          </w:tcPr>
          <w:p/>
        </w:tc>
        <w:tc>
          <w:tcPr>
            <w:tcW w:type="dxa" w:w="415"/>
          </w:tcPr>
          <w:p>
            <w:pPr>
              <w:pStyle w:val="null3"/>
            </w:pPr>
            <w:r>
              <w:rPr/>
              <w:t>3</w:t>
            </w:r>
          </w:p>
        </w:tc>
        <w:tc>
          <w:tcPr>
            <w:tcW w:type="dxa" w:w="5814"/>
          </w:tcPr>
          <w:p>
            <w:pPr>
              <w:pStyle w:val="null3"/>
              <w:ind w:left="525"/>
              <w:jc w:val="both"/>
            </w:pPr>
            <w:r>
              <w:rPr>
                <w:sz w:val="21"/>
              </w:rPr>
              <w:t>3.</w:t>
            </w:r>
            <w:r>
              <w:rPr>
                <w:sz w:val="21"/>
              </w:rPr>
              <w:t>系统管理</w:t>
            </w:r>
          </w:p>
          <w:p>
            <w:pPr>
              <w:pStyle w:val="null3"/>
            </w:pPr>
            <w:r>
              <w:rPr>
                <w:sz w:val="21"/>
              </w:rPr>
              <w:t>1)</w:t>
            </w:r>
            <w:r>
              <w:rPr>
                <w:sz w:val="21"/>
              </w:rPr>
              <w:t>在授权管理</w:t>
            </w:r>
            <w:r>
              <w:rPr>
                <w:sz w:val="21"/>
                <w:color w:val="000000"/>
              </w:rPr>
              <w:t>页面</w:t>
            </w:r>
            <w:r>
              <w:rPr>
                <w:sz w:val="21"/>
              </w:rPr>
              <w:t>输入学校账号、密码等信息保存后，即可测试上报并反馈测试结果。</w:t>
            </w:r>
          </w:p>
        </w:tc>
      </w:tr>
      <w:tr>
        <w:tc>
          <w:tcPr>
            <w:tcW w:type="dxa" w:w="2076"/>
          </w:tcPr>
          <w:p/>
        </w:tc>
        <w:tc>
          <w:tcPr>
            <w:tcW w:type="dxa" w:w="415"/>
          </w:tcPr>
          <w:p>
            <w:pPr>
              <w:pStyle w:val="null3"/>
            </w:pPr>
            <w:r>
              <w:rPr/>
              <w:t>4</w:t>
            </w:r>
          </w:p>
        </w:tc>
        <w:tc>
          <w:tcPr>
            <w:tcW w:type="dxa" w:w="5814"/>
          </w:tcPr>
          <w:p>
            <w:pPr>
              <w:pStyle w:val="null3"/>
            </w:pPr>
            <w:r>
              <w:rPr>
                <w:sz w:val="21"/>
              </w:rPr>
              <w:t>2)</w:t>
            </w:r>
            <w:r>
              <w:rPr>
                <w:sz w:val="21"/>
              </w:rPr>
              <w:t>提供系统设置功能。支持自定义上传系统</w:t>
            </w:r>
            <w:r>
              <w:rPr>
                <w:sz w:val="21"/>
              </w:rPr>
              <w:t>logo，更改系统名称与页脚信息。</w:t>
            </w:r>
          </w:p>
        </w:tc>
      </w:tr>
      <w:tr>
        <w:tc>
          <w:tcPr>
            <w:tcW w:type="dxa" w:w="2076"/>
          </w:tcPr>
          <w:p/>
        </w:tc>
        <w:tc>
          <w:tcPr>
            <w:tcW w:type="dxa" w:w="415"/>
          </w:tcPr>
          <w:p>
            <w:pPr>
              <w:pStyle w:val="null3"/>
            </w:pPr>
            <w:r>
              <w:rPr/>
              <w:t>5</w:t>
            </w:r>
          </w:p>
        </w:tc>
        <w:tc>
          <w:tcPr>
            <w:tcW w:type="dxa" w:w="5814"/>
          </w:tcPr>
          <w:p>
            <w:pPr>
              <w:pStyle w:val="null3"/>
            </w:pPr>
            <w:r>
              <w:rPr>
                <w:sz w:val="21"/>
              </w:rPr>
              <w:t>3)</w:t>
            </w:r>
            <w:r>
              <w:rPr>
                <w:sz w:val="21"/>
              </w:rPr>
              <w:t>支持开启大数据量分批提交，降低数据上报速度，以防止</w:t>
            </w:r>
            <w:r>
              <w:rPr>
                <w:sz w:val="21"/>
              </w:rPr>
              <w:t>ip被封。</w:t>
            </w:r>
          </w:p>
        </w:tc>
      </w:tr>
      <w:tr>
        <w:tc>
          <w:tcPr>
            <w:tcW w:type="dxa" w:w="2076"/>
          </w:tcPr>
          <w:p/>
        </w:tc>
        <w:tc>
          <w:tcPr>
            <w:tcW w:type="dxa" w:w="415"/>
          </w:tcPr>
          <w:p>
            <w:pPr>
              <w:pStyle w:val="null3"/>
            </w:pPr>
            <w:r>
              <w:rPr/>
              <w:t>6</w:t>
            </w:r>
          </w:p>
        </w:tc>
        <w:tc>
          <w:tcPr>
            <w:tcW w:type="dxa" w:w="5814"/>
          </w:tcPr>
          <w:p>
            <w:pPr>
              <w:pStyle w:val="null3"/>
            </w:pPr>
            <w:r>
              <w:rPr>
                <w:sz w:val="21"/>
              </w:rPr>
              <w:t>4)</w:t>
            </w:r>
            <w:r>
              <w:rPr>
                <w:sz w:val="21"/>
              </w:rPr>
              <w:t>提供操作日志功能。可查询并展示平台访问信息，包括用户名、</w:t>
            </w:r>
            <w:r>
              <w:rPr>
                <w:sz w:val="21"/>
              </w:rPr>
              <w:t>ip、登录时间、操作次数等。支持查看操作详情，查询并展示每条操作记录的功能模块、操作项、操作详情等信息。</w:t>
            </w:r>
          </w:p>
        </w:tc>
      </w:tr>
      <w:tr>
        <w:tc>
          <w:tcPr>
            <w:tcW w:type="dxa" w:w="2076"/>
          </w:tcPr>
          <w:p/>
        </w:tc>
        <w:tc>
          <w:tcPr>
            <w:tcW w:type="dxa" w:w="415"/>
          </w:tcPr>
          <w:p>
            <w:pPr>
              <w:pStyle w:val="null3"/>
            </w:pPr>
            <w:r>
              <w:rPr/>
              <w:t>7</w:t>
            </w:r>
          </w:p>
        </w:tc>
        <w:tc>
          <w:tcPr>
            <w:tcW w:type="dxa" w:w="5814"/>
          </w:tcPr>
          <w:p>
            <w:pPr>
              <w:pStyle w:val="null3"/>
            </w:pPr>
            <w:r>
              <w:rPr>
                <w:sz w:val="21"/>
              </w:rPr>
              <w:t>5)</w:t>
            </w:r>
            <w:r>
              <w:rPr>
                <w:sz w:val="21"/>
              </w:rPr>
              <w:t>提供调度策略管理功能。支持查询并展示调度策略，支持新增、修改、（批量）删除调度策略记录，可配置调度表达式与调度状态。</w:t>
            </w:r>
          </w:p>
        </w:tc>
      </w:tr>
      <w:tr>
        <w:tc>
          <w:tcPr>
            <w:tcW w:type="dxa" w:w="2076"/>
          </w:tcPr>
          <w:p/>
        </w:tc>
        <w:tc>
          <w:tcPr>
            <w:tcW w:type="dxa" w:w="415"/>
          </w:tcPr>
          <w:p>
            <w:pPr>
              <w:pStyle w:val="null3"/>
            </w:pPr>
            <w:r>
              <w:rPr/>
              <w:t>8</w:t>
            </w:r>
          </w:p>
        </w:tc>
        <w:tc>
          <w:tcPr>
            <w:tcW w:type="dxa" w:w="5814"/>
          </w:tcPr>
          <w:p>
            <w:pPr>
              <w:pStyle w:val="null3"/>
            </w:pPr>
            <w:r>
              <w:rPr>
                <w:sz w:val="21"/>
              </w:rPr>
              <w:t>6)</w:t>
            </w:r>
            <w:r>
              <w:rPr>
                <w:sz w:val="21"/>
              </w:rPr>
              <w:t>支持查看系统历次版本迭代内容。</w:t>
            </w:r>
          </w:p>
        </w:tc>
      </w:tr>
      <w:tr>
        <w:tc>
          <w:tcPr>
            <w:tcW w:type="dxa" w:w="2076"/>
          </w:tcPr>
          <w:p/>
        </w:tc>
        <w:tc>
          <w:tcPr>
            <w:tcW w:type="dxa" w:w="415"/>
          </w:tcPr>
          <w:p>
            <w:pPr>
              <w:pStyle w:val="null3"/>
            </w:pPr>
            <w:r>
              <w:rPr/>
              <w:t>9</w:t>
            </w:r>
          </w:p>
        </w:tc>
        <w:tc>
          <w:tcPr>
            <w:tcW w:type="dxa" w:w="5814"/>
          </w:tcPr>
          <w:p>
            <w:pPr>
              <w:pStyle w:val="null3"/>
              <w:ind w:left="525"/>
              <w:jc w:val="both"/>
            </w:pPr>
            <w:r>
              <w:rPr>
                <w:sz w:val="21"/>
                <w:color w:val="000000"/>
              </w:rPr>
              <w:t>4.</w:t>
            </w:r>
            <w:r>
              <w:rPr>
                <w:sz w:val="21"/>
                <w:color w:val="000000"/>
              </w:rPr>
              <w:t>数据</w:t>
            </w:r>
            <w:r>
              <w:rPr>
                <w:sz w:val="21"/>
              </w:rPr>
              <w:t>管理</w:t>
            </w:r>
          </w:p>
          <w:p>
            <w:pPr>
              <w:pStyle w:val="null3"/>
            </w:pPr>
            <w:r>
              <w:rPr>
                <w:sz w:val="21"/>
              </w:rPr>
              <w:t>1)</w:t>
            </w:r>
            <w:r>
              <w:rPr>
                <w:sz w:val="21"/>
                <w:color w:val="000000"/>
              </w:rPr>
              <w:t>提供数据导入功能。选择数据表，可以按照该数据表对应的模板上传</w:t>
            </w:r>
            <w:r>
              <w:rPr>
                <w:sz w:val="21"/>
              </w:rPr>
              <w:t>文件</w:t>
            </w:r>
            <w:r>
              <w:rPr>
                <w:sz w:val="21"/>
                <w:color w:val="000000"/>
              </w:rPr>
              <w:t>，一键批量导入</w:t>
            </w:r>
            <w:r>
              <w:rPr>
                <w:sz w:val="21"/>
                <w:color w:val="000000"/>
              </w:rPr>
              <w:t>excel格式的数据。如果还没有模板，可先下载所选数据表的模板再上传。</w:t>
            </w:r>
          </w:p>
        </w:tc>
      </w:tr>
      <w:tr>
        <w:tc>
          <w:tcPr>
            <w:tcW w:type="dxa" w:w="2076"/>
          </w:tcPr>
          <w:p/>
        </w:tc>
        <w:tc>
          <w:tcPr>
            <w:tcW w:type="dxa" w:w="415"/>
          </w:tcPr>
          <w:p>
            <w:pPr>
              <w:pStyle w:val="null3"/>
            </w:pPr>
            <w:r>
              <w:rPr/>
              <w:t>10</w:t>
            </w:r>
          </w:p>
        </w:tc>
        <w:tc>
          <w:tcPr>
            <w:tcW w:type="dxa" w:w="5814"/>
          </w:tcPr>
          <w:p>
            <w:pPr>
              <w:pStyle w:val="null3"/>
            </w:pPr>
            <w:r>
              <w:rPr>
                <w:sz w:val="21"/>
                <w:color w:val="000000"/>
              </w:rPr>
              <w:t>2)</w:t>
            </w:r>
            <w:r>
              <w:rPr>
                <w:sz w:val="21"/>
                <w:color w:val="000000"/>
              </w:rPr>
              <w:t>提供一键下载所有数据集的模板的功能。模板已内置好每张数据表的表头，表头做冻结处理，备注好相应的填写规则。对于引用代码的数据项，支持下拉单选相应的代码描述（文字），也支持输入代码值（数字），上报时系统会统一转义为代码值。</w:t>
            </w:r>
          </w:p>
        </w:tc>
      </w:tr>
      <w:tr>
        <w:tc>
          <w:tcPr>
            <w:tcW w:type="dxa" w:w="2076"/>
          </w:tcPr>
          <w:p/>
        </w:tc>
        <w:tc>
          <w:tcPr>
            <w:tcW w:type="dxa" w:w="415"/>
          </w:tcPr>
          <w:p>
            <w:pPr>
              <w:pStyle w:val="null3"/>
            </w:pPr>
            <w:r>
              <w:rPr/>
              <w:t>11</w:t>
            </w:r>
          </w:p>
        </w:tc>
        <w:tc>
          <w:tcPr>
            <w:tcW w:type="dxa" w:w="5814"/>
          </w:tcPr>
          <w:p>
            <w:pPr>
              <w:pStyle w:val="null3"/>
            </w:pPr>
            <w:r>
              <w:rPr>
                <w:sz w:val="21"/>
                <w:color w:val="000000"/>
              </w:rPr>
              <w:t>3)</w:t>
            </w:r>
            <w:r>
              <w:rPr>
                <w:sz w:val="21"/>
                <w:color w:val="000000"/>
              </w:rPr>
              <w:t>提供数据集模型的配置功能，系统已内置好教育部文件中所规定的数据集与数据标准。支持查询、新增、修改、删除数据目录、数据表或数据项，并展示相应记录。支持配置数据表的来源部门、填报人、是否开启数据复核等。支持配置数据项、是否主键、类型、长度、约束等。</w:t>
            </w:r>
            <w:r>
              <w:rPr>
                <w:sz w:val="21"/>
                <w:b/>
                <w:color w:val="000000"/>
              </w:rPr>
              <w:t>（提供现场演示）</w:t>
            </w:r>
          </w:p>
        </w:tc>
      </w:tr>
      <w:tr>
        <w:tc>
          <w:tcPr>
            <w:tcW w:type="dxa" w:w="2076"/>
          </w:tcPr>
          <w:p/>
        </w:tc>
        <w:tc>
          <w:tcPr>
            <w:tcW w:type="dxa" w:w="415"/>
          </w:tcPr>
          <w:p>
            <w:pPr>
              <w:pStyle w:val="null3"/>
            </w:pPr>
            <w:r>
              <w:rPr/>
              <w:t>12</w:t>
            </w:r>
          </w:p>
        </w:tc>
        <w:tc>
          <w:tcPr>
            <w:tcW w:type="dxa" w:w="5814"/>
          </w:tcPr>
          <w:p>
            <w:pPr>
              <w:pStyle w:val="null3"/>
            </w:pPr>
            <w:r>
              <w:rPr>
                <w:sz w:val="21"/>
                <w:color w:val="000000"/>
              </w:rPr>
              <w:t>4)</w:t>
            </w:r>
            <w:r>
              <w:rPr>
                <w:sz w:val="21"/>
                <w:color w:val="000000"/>
              </w:rPr>
              <w:t>提供代码集模型的配置功能，系统已内置好教育部文件中所规定的代码。支持查询、新增、修改、删除代码，并展示相应记录。支持配置代码集的代码描述与代码值。</w:t>
            </w:r>
          </w:p>
        </w:tc>
      </w:tr>
      <w:tr>
        <w:tc>
          <w:tcPr>
            <w:tcW w:type="dxa" w:w="2076"/>
          </w:tcPr>
          <w:p/>
        </w:tc>
        <w:tc>
          <w:tcPr>
            <w:tcW w:type="dxa" w:w="415"/>
          </w:tcPr>
          <w:p>
            <w:pPr>
              <w:pStyle w:val="null3"/>
            </w:pPr>
            <w:r>
              <w:rPr/>
              <w:t>13</w:t>
            </w:r>
          </w:p>
        </w:tc>
        <w:tc>
          <w:tcPr>
            <w:tcW w:type="dxa" w:w="5814"/>
          </w:tcPr>
          <w:p>
            <w:pPr>
              <w:pStyle w:val="null3"/>
              <w:ind w:left="525"/>
              <w:jc w:val="both"/>
            </w:pPr>
            <w:r>
              <w:rPr>
                <w:sz w:val="21"/>
                <w:color w:val="000000"/>
              </w:rPr>
              <w:t>5.</w:t>
            </w:r>
            <w:r>
              <w:rPr>
                <w:sz w:val="21"/>
                <w:color w:val="000000"/>
              </w:rPr>
              <w:t>数据质量</w:t>
            </w:r>
          </w:p>
          <w:p>
            <w:pPr>
              <w:pStyle w:val="null3"/>
            </w:pPr>
            <w:r>
              <w:rPr>
                <w:sz w:val="21"/>
              </w:rPr>
              <w:t>1)</w:t>
            </w:r>
            <w:r>
              <w:rPr>
                <w:sz w:val="21"/>
                <w:color w:val="000000"/>
              </w:rPr>
              <w:t>支持通过设置核验规则，检查数据集格式的完整性与准确性，生成核验报告，并自动给各来源部门下发针对异常数据的补录任务。</w:t>
            </w:r>
          </w:p>
        </w:tc>
      </w:tr>
      <w:tr>
        <w:tc>
          <w:tcPr>
            <w:tcW w:type="dxa" w:w="2076"/>
          </w:tcPr>
          <w:p/>
        </w:tc>
        <w:tc>
          <w:tcPr>
            <w:tcW w:type="dxa" w:w="415"/>
          </w:tcPr>
          <w:p>
            <w:pPr>
              <w:pStyle w:val="null3"/>
            </w:pPr>
            <w:r>
              <w:rPr/>
              <w:t>14</w:t>
            </w:r>
          </w:p>
        </w:tc>
        <w:tc>
          <w:tcPr>
            <w:tcW w:type="dxa" w:w="5814"/>
          </w:tcPr>
          <w:p>
            <w:pPr>
              <w:pStyle w:val="null3"/>
            </w:pPr>
            <w:r>
              <w:rPr>
                <w:sz w:val="21"/>
                <w:color w:val="000000"/>
              </w:rPr>
              <w:t>2)</w:t>
            </w:r>
            <w:r>
              <w:rPr>
                <w:sz w:val="21"/>
                <w:color w:val="000000"/>
              </w:rPr>
              <w:t>支持基础核验和质量核验，基础核验由系统在数据进入平台时自动核验，并给各部门下发异常数据补录任务，质量核验提供影响数据正常成功上报之外的核验，包括数据一致性、数据唯一性、数据完整性的核验。支持手动触发核验，手动核验时可选择特定的数据表与核验规则，核验过程中显示核验进度，核验完毕后出具核验报告，并支持查看与导出异常数据明细。</w:t>
            </w:r>
          </w:p>
        </w:tc>
      </w:tr>
      <w:tr>
        <w:tc>
          <w:tcPr>
            <w:tcW w:type="dxa" w:w="2076"/>
          </w:tcPr>
          <w:p/>
        </w:tc>
        <w:tc>
          <w:tcPr>
            <w:tcW w:type="dxa" w:w="415"/>
          </w:tcPr>
          <w:p>
            <w:pPr>
              <w:pStyle w:val="null3"/>
            </w:pPr>
            <w:r>
              <w:rPr/>
              <w:t>15</w:t>
            </w:r>
          </w:p>
        </w:tc>
        <w:tc>
          <w:tcPr>
            <w:tcW w:type="dxa" w:w="5814"/>
          </w:tcPr>
          <w:p>
            <w:pPr>
              <w:pStyle w:val="null3"/>
            </w:pPr>
            <w:r>
              <w:rPr>
                <w:sz w:val="21"/>
                <w:color w:val="000000"/>
              </w:rPr>
              <w:t>3)</w:t>
            </w:r>
            <w:r>
              <w:rPr>
                <w:sz w:val="21"/>
                <w:color w:val="000000"/>
              </w:rPr>
              <w:t>支持查看数据核验后的整体预警信息。查看预警表数（核验有问题的表数量）、部门数（核验涉及到的业务部门数）、监控表数（总共核验的数据表数量）、问题数（存在问题的数量）、待整改数（未对校验的问题进行修改的数量）。</w:t>
            </w:r>
          </w:p>
        </w:tc>
      </w:tr>
      <w:tr>
        <w:tc>
          <w:tcPr>
            <w:tcW w:type="dxa" w:w="2076"/>
          </w:tcPr>
          <w:p/>
        </w:tc>
        <w:tc>
          <w:tcPr>
            <w:tcW w:type="dxa" w:w="415"/>
          </w:tcPr>
          <w:p>
            <w:pPr>
              <w:pStyle w:val="null3"/>
            </w:pPr>
            <w:r>
              <w:rPr/>
              <w:t>16</w:t>
            </w:r>
          </w:p>
        </w:tc>
        <w:tc>
          <w:tcPr>
            <w:tcW w:type="dxa" w:w="5814"/>
          </w:tcPr>
          <w:p>
            <w:pPr>
              <w:pStyle w:val="null3"/>
            </w:pPr>
            <w:r>
              <w:rPr>
                <w:sz w:val="21"/>
                <w:color w:val="000000"/>
              </w:rPr>
              <w:t>4)</w:t>
            </w:r>
            <w:r>
              <w:rPr>
                <w:sz w:val="21"/>
                <w:color w:val="000000"/>
              </w:rPr>
              <w:t>支持查看每一张数据表的详细核验报告。包括各类问题数量、已整改数量、待整改数量、问题记录的条数，来源部门与校验时间。支持查看与导出异常数据明细。</w:t>
            </w:r>
          </w:p>
        </w:tc>
      </w:tr>
      <w:tr>
        <w:tc>
          <w:tcPr>
            <w:tcW w:type="dxa" w:w="2076"/>
          </w:tcPr>
          <w:p/>
        </w:tc>
        <w:tc>
          <w:tcPr>
            <w:tcW w:type="dxa" w:w="415"/>
          </w:tcPr>
          <w:p>
            <w:pPr>
              <w:pStyle w:val="null3"/>
            </w:pPr>
            <w:r>
              <w:rPr/>
              <w:t>17</w:t>
            </w:r>
          </w:p>
        </w:tc>
        <w:tc>
          <w:tcPr>
            <w:tcW w:type="dxa" w:w="5814"/>
          </w:tcPr>
          <w:p>
            <w:pPr>
              <w:pStyle w:val="null3"/>
            </w:pPr>
            <w:r>
              <w:rPr>
                <w:sz w:val="21"/>
                <w:color w:val="000000"/>
              </w:rPr>
              <w:t>5)</w:t>
            </w:r>
            <w:r>
              <w:rPr>
                <w:sz w:val="21"/>
                <w:color w:val="000000"/>
              </w:rPr>
              <w:t>支持查看核验报告的字段详情。选择某数据表，可展开显示所有数据项信息，包括每个数据项具体的问题提示信息，支持在页面上修改数据。</w:t>
            </w:r>
          </w:p>
        </w:tc>
      </w:tr>
      <w:tr>
        <w:tc>
          <w:tcPr>
            <w:tcW w:type="dxa" w:w="2076"/>
          </w:tcPr>
          <w:p/>
        </w:tc>
        <w:tc>
          <w:tcPr>
            <w:tcW w:type="dxa" w:w="415"/>
          </w:tcPr>
          <w:p>
            <w:pPr>
              <w:pStyle w:val="null3"/>
            </w:pPr>
            <w:r>
              <w:rPr/>
              <w:t>18</w:t>
            </w:r>
          </w:p>
        </w:tc>
        <w:tc>
          <w:tcPr>
            <w:tcW w:type="dxa" w:w="5814"/>
          </w:tcPr>
          <w:p>
            <w:pPr>
              <w:pStyle w:val="null3"/>
            </w:pPr>
            <w:r>
              <w:rPr>
                <w:sz w:val="21"/>
                <w:color w:val="000000"/>
              </w:rPr>
              <w:t>6)</w:t>
            </w:r>
            <w:r>
              <w:rPr>
                <w:sz w:val="21"/>
                <w:color w:val="000000"/>
              </w:rPr>
              <w:t>支持查看核验历史，记录每一次核验操作的核验时间、核验类型、核验规则、核验表数、核验记录数与问题记录数。支持选择时间区间查询核验历史记录。</w:t>
            </w:r>
          </w:p>
        </w:tc>
      </w:tr>
      <w:tr>
        <w:tc>
          <w:tcPr>
            <w:tcW w:type="dxa" w:w="2076"/>
          </w:tcPr>
          <w:p/>
        </w:tc>
        <w:tc>
          <w:tcPr>
            <w:tcW w:type="dxa" w:w="415"/>
          </w:tcPr>
          <w:p>
            <w:pPr>
              <w:pStyle w:val="null3"/>
            </w:pPr>
            <w:r>
              <w:rPr/>
              <w:t>19</w:t>
            </w:r>
          </w:p>
        </w:tc>
        <w:tc>
          <w:tcPr>
            <w:tcW w:type="dxa" w:w="5814"/>
          </w:tcPr>
          <w:p>
            <w:pPr>
              <w:pStyle w:val="null3"/>
            </w:pPr>
            <w:r>
              <w:rPr>
                <w:sz w:val="21"/>
                <w:color w:val="000000"/>
              </w:rPr>
              <w:t>7)</w:t>
            </w:r>
            <w:r>
              <w:rPr>
                <w:sz w:val="21"/>
                <w:color w:val="000000"/>
              </w:rPr>
              <w:t>支持查看和维护质量检验规则，支持新增规则、删除规则、编辑规则、启用停用规则，支持查看规则的名称、描述、绑定表对象。</w:t>
            </w:r>
          </w:p>
        </w:tc>
      </w:tr>
      <w:tr>
        <w:tc>
          <w:tcPr>
            <w:tcW w:type="dxa" w:w="2076"/>
          </w:tcPr>
          <w:p/>
        </w:tc>
        <w:tc>
          <w:tcPr>
            <w:tcW w:type="dxa" w:w="415"/>
          </w:tcPr>
          <w:p>
            <w:pPr>
              <w:pStyle w:val="null3"/>
            </w:pPr>
            <w:r>
              <w:rPr/>
              <w:t>20</w:t>
            </w:r>
          </w:p>
        </w:tc>
        <w:tc>
          <w:tcPr>
            <w:tcW w:type="dxa" w:w="5814"/>
          </w:tcPr>
          <w:p>
            <w:pPr>
              <w:pStyle w:val="null3"/>
            </w:pPr>
            <w:r>
              <w:rPr>
                <w:sz w:val="21"/>
                <w:color w:val="000000"/>
              </w:rPr>
              <w:t>8)</w:t>
            </w:r>
            <w:r>
              <w:rPr>
                <w:sz w:val="21"/>
                <w:color w:val="000000"/>
              </w:rPr>
              <w:t>支持以</w:t>
            </w:r>
            <w:r>
              <w:rPr>
                <w:sz w:val="21"/>
                <w:color w:val="000000"/>
              </w:rPr>
              <w:t>SQL语句的方式编辑规则。</w:t>
            </w:r>
          </w:p>
        </w:tc>
      </w:tr>
      <w:tr>
        <w:tc>
          <w:tcPr>
            <w:tcW w:type="dxa" w:w="2076"/>
          </w:tcPr>
          <w:p/>
        </w:tc>
        <w:tc>
          <w:tcPr>
            <w:tcW w:type="dxa" w:w="415"/>
          </w:tcPr>
          <w:p>
            <w:pPr>
              <w:pStyle w:val="null3"/>
            </w:pPr>
            <w:r>
              <w:rPr/>
              <w:t>21</w:t>
            </w:r>
          </w:p>
        </w:tc>
        <w:tc>
          <w:tcPr>
            <w:tcW w:type="dxa" w:w="5814"/>
          </w:tcPr>
          <w:p>
            <w:pPr>
              <w:pStyle w:val="null3"/>
              <w:ind w:left="525"/>
              <w:jc w:val="both"/>
            </w:pPr>
            <w:r>
              <w:rPr>
                <w:sz w:val="21"/>
                <w:color w:val="000000"/>
              </w:rPr>
              <w:t>6.</w:t>
            </w:r>
            <w:r>
              <w:rPr>
                <w:sz w:val="21"/>
                <w:color w:val="000000"/>
              </w:rPr>
              <w:t>数据采集</w:t>
            </w:r>
          </w:p>
          <w:p>
            <w:pPr>
              <w:pStyle w:val="null3"/>
            </w:pPr>
            <w:r>
              <w:rPr>
                <w:sz w:val="21"/>
              </w:rPr>
              <w:t>1)</w:t>
            </w:r>
            <w:r>
              <w:rPr>
                <w:sz w:val="21"/>
                <w:color w:val="000000"/>
              </w:rPr>
              <w:t>从数据预警核验后的数据流入数据采集模块进行处理。系统会自动将核验的异常数据（标记为红色色块），自动下发给该数据表的负责部门与负责人进行修改补录操作。</w:t>
            </w:r>
          </w:p>
        </w:tc>
      </w:tr>
      <w:tr>
        <w:tc>
          <w:tcPr>
            <w:tcW w:type="dxa" w:w="2076"/>
          </w:tcPr>
          <w:p/>
        </w:tc>
        <w:tc>
          <w:tcPr>
            <w:tcW w:type="dxa" w:w="415"/>
          </w:tcPr>
          <w:p>
            <w:pPr>
              <w:pStyle w:val="null3"/>
            </w:pPr>
            <w:r>
              <w:rPr/>
              <w:t>22</w:t>
            </w:r>
          </w:p>
        </w:tc>
        <w:tc>
          <w:tcPr>
            <w:tcW w:type="dxa" w:w="5814"/>
          </w:tcPr>
          <w:p>
            <w:pPr>
              <w:pStyle w:val="null3"/>
            </w:pPr>
            <w:r>
              <w:rPr>
                <w:sz w:val="21"/>
                <w:color w:val="000000"/>
              </w:rPr>
              <w:t>2)</w:t>
            </w:r>
            <w:r>
              <w:rPr>
                <w:sz w:val="21"/>
                <w:color w:val="000000"/>
              </w:rPr>
              <w:t>查看所选数据表的数据。选择某数据表，可切换待提交与已提交</w:t>
            </w:r>
            <w:r>
              <w:rPr>
                <w:sz w:val="21"/>
                <w:color w:val="000000"/>
              </w:rPr>
              <w:t>tab页，并查看相应状态下该表的数据。</w:t>
            </w:r>
          </w:p>
        </w:tc>
      </w:tr>
      <w:tr>
        <w:tc>
          <w:tcPr>
            <w:tcW w:type="dxa" w:w="2076"/>
          </w:tcPr>
          <w:p/>
        </w:tc>
        <w:tc>
          <w:tcPr>
            <w:tcW w:type="dxa" w:w="415"/>
          </w:tcPr>
          <w:p>
            <w:pPr>
              <w:pStyle w:val="null3"/>
            </w:pPr>
            <w:r>
              <w:rPr/>
              <w:t>23</w:t>
            </w:r>
          </w:p>
        </w:tc>
        <w:tc>
          <w:tcPr>
            <w:tcW w:type="dxa" w:w="5814"/>
          </w:tcPr>
          <w:p>
            <w:pPr>
              <w:pStyle w:val="null3"/>
            </w:pPr>
            <w:r>
              <w:rPr>
                <w:sz w:val="21"/>
                <w:color w:val="000000"/>
              </w:rPr>
              <w:t>3)</w:t>
            </w:r>
            <w:r>
              <w:rPr>
                <w:sz w:val="21"/>
                <w:color w:val="000000"/>
              </w:rPr>
              <w:t>提供异常信息提示。每张数据表中经过质量核验后，系统会用红点在表名后自动标注待处理的异常数据的数量，该数量随着修改实时变化，并置顶表格中所有异常记录，标红所有的异常数据字段。将鼠标移入到数据表中被标红显示的字段，有气泡显示提示信息，告知用户问题类型。</w:t>
            </w:r>
          </w:p>
        </w:tc>
      </w:tr>
      <w:tr>
        <w:tc>
          <w:tcPr>
            <w:tcW w:type="dxa" w:w="2076"/>
          </w:tcPr>
          <w:p/>
        </w:tc>
        <w:tc>
          <w:tcPr>
            <w:tcW w:type="dxa" w:w="415"/>
          </w:tcPr>
          <w:p>
            <w:pPr>
              <w:pStyle w:val="null3"/>
            </w:pPr>
            <w:r>
              <w:rPr/>
              <w:t>24</w:t>
            </w:r>
          </w:p>
        </w:tc>
        <w:tc>
          <w:tcPr>
            <w:tcW w:type="dxa" w:w="5814"/>
          </w:tcPr>
          <w:p>
            <w:pPr>
              <w:pStyle w:val="null3"/>
            </w:pPr>
            <w:r>
              <w:rPr>
                <w:sz w:val="21"/>
                <w:color w:val="000000"/>
              </w:rPr>
              <w:t>4)</w:t>
            </w:r>
            <w:r>
              <w:rPr>
                <w:sz w:val="21"/>
                <w:color w:val="000000"/>
              </w:rPr>
              <w:t>支持实时查看补录进度。对于有异常数据的数据表，显示补录进度条，进度条会随着修改操作动态变化。</w:t>
            </w:r>
          </w:p>
        </w:tc>
      </w:tr>
      <w:tr>
        <w:tc>
          <w:tcPr>
            <w:tcW w:type="dxa" w:w="2076"/>
          </w:tcPr>
          <w:p/>
        </w:tc>
        <w:tc>
          <w:tcPr>
            <w:tcW w:type="dxa" w:w="415"/>
          </w:tcPr>
          <w:p>
            <w:pPr>
              <w:pStyle w:val="null3"/>
            </w:pPr>
            <w:r>
              <w:rPr/>
              <w:t>25</w:t>
            </w:r>
          </w:p>
        </w:tc>
        <w:tc>
          <w:tcPr>
            <w:tcW w:type="dxa" w:w="5814"/>
          </w:tcPr>
          <w:p>
            <w:pPr>
              <w:pStyle w:val="null3"/>
            </w:pPr>
            <w:r>
              <w:rPr>
                <w:sz w:val="21"/>
                <w:color w:val="000000"/>
              </w:rPr>
              <w:t>5)</w:t>
            </w:r>
            <w:r>
              <w:rPr>
                <w:sz w:val="21"/>
                <w:color w:val="000000"/>
              </w:rPr>
              <w:t>支持在线新增单条数据，保存时会做格式校验，未通过不予保存。</w:t>
            </w:r>
          </w:p>
        </w:tc>
      </w:tr>
      <w:tr>
        <w:tc>
          <w:tcPr>
            <w:tcW w:type="dxa" w:w="2076"/>
          </w:tcPr>
          <w:p/>
        </w:tc>
        <w:tc>
          <w:tcPr>
            <w:tcW w:type="dxa" w:w="415"/>
          </w:tcPr>
          <w:p>
            <w:pPr>
              <w:pStyle w:val="null3"/>
            </w:pPr>
            <w:r>
              <w:rPr/>
              <w:t>26</w:t>
            </w:r>
          </w:p>
        </w:tc>
        <w:tc>
          <w:tcPr>
            <w:tcW w:type="dxa" w:w="5814"/>
          </w:tcPr>
          <w:p>
            <w:pPr>
              <w:pStyle w:val="null3"/>
            </w:pPr>
            <w:r>
              <w:rPr>
                <w:sz w:val="21"/>
                <w:color w:val="000000"/>
              </w:rPr>
              <w:t>6)</w:t>
            </w:r>
            <w:r>
              <w:rPr>
                <w:sz w:val="21"/>
                <w:color w:val="000000"/>
              </w:rPr>
              <w:t>支持批量导入数据，选择某张数据表，可上传</w:t>
            </w:r>
            <w:r>
              <w:rPr>
                <w:sz w:val="21"/>
                <w:color w:val="000000"/>
              </w:rPr>
              <w:t>excel文件，如果还没有模板，可以先下载模板，再一键导入数据。</w:t>
            </w:r>
          </w:p>
        </w:tc>
      </w:tr>
      <w:tr>
        <w:tc>
          <w:tcPr>
            <w:tcW w:type="dxa" w:w="2076"/>
          </w:tcPr>
          <w:p/>
        </w:tc>
        <w:tc>
          <w:tcPr>
            <w:tcW w:type="dxa" w:w="415"/>
          </w:tcPr>
          <w:p>
            <w:pPr>
              <w:pStyle w:val="null3"/>
            </w:pPr>
            <w:r>
              <w:rPr/>
              <w:t>27</w:t>
            </w:r>
          </w:p>
        </w:tc>
        <w:tc>
          <w:tcPr>
            <w:tcW w:type="dxa" w:w="5814"/>
          </w:tcPr>
          <w:p>
            <w:pPr>
              <w:pStyle w:val="null3"/>
            </w:pPr>
            <w:r>
              <w:rPr>
                <w:sz w:val="21"/>
                <w:color w:val="000000"/>
              </w:rPr>
              <w:t>7)</w:t>
            </w:r>
            <w:r>
              <w:rPr>
                <w:sz w:val="21"/>
                <w:color w:val="000000"/>
              </w:rPr>
              <w:t>支持导出数据。勾选数据，将所选数据导出为</w:t>
            </w:r>
            <w:r>
              <w:rPr>
                <w:sz w:val="21"/>
                <w:color w:val="000000"/>
              </w:rPr>
              <w:t>excel格式。如果用户未勾选任何记录，则系统默认导出该表当前的所有记录。</w:t>
            </w:r>
          </w:p>
        </w:tc>
      </w:tr>
      <w:tr>
        <w:tc>
          <w:tcPr>
            <w:tcW w:type="dxa" w:w="2076"/>
          </w:tcPr>
          <w:p/>
        </w:tc>
        <w:tc>
          <w:tcPr>
            <w:tcW w:type="dxa" w:w="415"/>
          </w:tcPr>
          <w:p>
            <w:pPr>
              <w:pStyle w:val="null3"/>
            </w:pPr>
            <w:r>
              <w:rPr/>
              <w:t>28</w:t>
            </w:r>
          </w:p>
        </w:tc>
        <w:tc>
          <w:tcPr>
            <w:tcW w:type="dxa" w:w="5814"/>
          </w:tcPr>
          <w:p>
            <w:pPr>
              <w:pStyle w:val="null3"/>
            </w:pPr>
            <w:r>
              <w:rPr>
                <w:sz w:val="21"/>
                <w:color w:val="000000"/>
              </w:rPr>
              <w:t>8)</w:t>
            </w:r>
            <w:r>
              <w:rPr>
                <w:sz w:val="21"/>
                <w:color w:val="000000"/>
              </w:rPr>
              <w:t>支持在每条记录上增加数据来源标记，以第一次进入平台的来源为准，分别对应三种数据采集方式：数据同步、数据导入、数据补录。并且可以针对不同数据来源做数据筛选。</w:t>
            </w:r>
          </w:p>
        </w:tc>
      </w:tr>
      <w:tr>
        <w:tc>
          <w:tcPr>
            <w:tcW w:type="dxa" w:w="2076"/>
          </w:tcPr>
          <w:p/>
        </w:tc>
        <w:tc>
          <w:tcPr>
            <w:tcW w:type="dxa" w:w="415"/>
          </w:tcPr>
          <w:p>
            <w:pPr>
              <w:pStyle w:val="null3"/>
            </w:pPr>
            <w:r>
              <w:rPr/>
              <w:t>29</w:t>
            </w:r>
          </w:p>
        </w:tc>
        <w:tc>
          <w:tcPr>
            <w:tcW w:type="dxa" w:w="5814"/>
          </w:tcPr>
          <w:p>
            <w:pPr>
              <w:pStyle w:val="null3"/>
            </w:pPr>
            <w:r>
              <w:rPr>
                <w:sz w:val="21"/>
                <w:color w:val="000000"/>
              </w:rPr>
              <w:t>9)</w:t>
            </w:r>
            <w:r>
              <w:rPr>
                <w:sz w:val="21"/>
                <w:color w:val="000000"/>
              </w:rPr>
              <w:t>支持删除与修改单条数据，支持批量删除多条数据。</w:t>
            </w:r>
          </w:p>
        </w:tc>
      </w:tr>
      <w:tr>
        <w:tc>
          <w:tcPr>
            <w:tcW w:type="dxa" w:w="2076"/>
          </w:tcPr>
          <w:p/>
        </w:tc>
        <w:tc>
          <w:tcPr>
            <w:tcW w:type="dxa" w:w="415"/>
          </w:tcPr>
          <w:p>
            <w:pPr>
              <w:pStyle w:val="null3"/>
            </w:pPr>
            <w:r>
              <w:rPr/>
              <w:t>30</w:t>
            </w:r>
          </w:p>
        </w:tc>
        <w:tc>
          <w:tcPr>
            <w:tcW w:type="dxa" w:w="5814"/>
          </w:tcPr>
          <w:p>
            <w:pPr>
              <w:pStyle w:val="null3"/>
            </w:pPr>
            <w:r>
              <w:rPr>
                <w:sz w:val="21"/>
                <w:color w:val="000000"/>
              </w:rPr>
              <w:t>10)</w:t>
            </w:r>
            <w:r>
              <w:rPr>
                <w:sz w:val="21"/>
                <w:color w:val="000000"/>
              </w:rPr>
              <w:t>支持在已提交</w:t>
            </w:r>
            <w:r>
              <w:rPr>
                <w:sz w:val="21"/>
                <w:color w:val="000000"/>
              </w:rPr>
              <w:t>tab页，撤回还没有被学校审核的数据，修改后可以重新提交。</w:t>
            </w:r>
          </w:p>
        </w:tc>
      </w:tr>
      <w:tr>
        <w:tc>
          <w:tcPr>
            <w:tcW w:type="dxa" w:w="2076"/>
          </w:tcPr>
          <w:p/>
        </w:tc>
        <w:tc>
          <w:tcPr>
            <w:tcW w:type="dxa" w:w="415"/>
          </w:tcPr>
          <w:p>
            <w:pPr>
              <w:pStyle w:val="null3"/>
            </w:pPr>
            <w:r>
              <w:rPr/>
              <w:t>31</w:t>
            </w:r>
          </w:p>
        </w:tc>
        <w:tc>
          <w:tcPr>
            <w:tcW w:type="dxa" w:w="5814"/>
          </w:tcPr>
          <w:p>
            <w:pPr>
              <w:pStyle w:val="null3"/>
            </w:pPr>
            <w:r>
              <w:rPr>
                <w:sz w:val="21"/>
                <w:color w:val="000000"/>
              </w:rPr>
              <w:t>11)</w:t>
            </w:r>
            <w:r>
              <w:rPr>
                <w:sz w:val="21"/>
                <w:color w:val="000000"/>
              </w:rPr>
              <w:t>若有被部门审核退回或学校审核退回的数据，支持查看审核意见，可以修改后重新提交该数据。</w:t>
            </w:r>
          </w:p>
        </w:tc>
      </w:tr>
      <w:tr>
        <w:tc>
          <w:tcPr>
            <w:tcW w:type="dxa" w:w="2076"/>
          </w:tcPr>
          <w:p/>
        </w:tc>
        <w:tc>
          <w:tcPr>
            <w:tcW w:type="dxa" w:w="415"/>
          </w:tcPr>
          <w:p>
            <w:pPr>
              <w:pStyle w:val="null3"/>
            </w:pPr>
            <w:r>
              <w:rPr/>
              <w:t>32</w:t>
            </w:r>
          </w:p>
        </w:tc>
        <w:tc>
          <w:tcPr>
            <w:tcW w:type="dxa" w:w="5814"/>
          </w:tcPr>
          <w:p>
            <w:pPr>
              <w:pStyle w:val="null3"/>
            </w:pPr>
            <w:r>
              <w:rPr>
                <w:sz w:val="21"/>
                <w:color w:val="000000"/>
              </w:rPr>
              <w:t>12)</w:t>
            </w:r>
            <w:r>
              <w:rPr>
                <w:sz w:val="21"/>
                <w:color w:val="000000"/>
              </w:rPr>
              <w:t>支持根据数据来源，数据状态对表内数据进行筛选和排序。</w:t>
            </w:r>
          </w:p>
        </w:tc>
      </w:tr>
      <w:tr>
        <w:tc>
          <w:tcPr>
            <w:tcW w:type="dxa" w:w="2076"/>
          </w:tcPr>
          <w:p/>
        </w:tc>
        <w:tc>
          <w:tcPr>
            <w:tcW w:type="dxa" w:w="415"/>
          </w:tcPr>
          <w:p>
            <w:pPr>
              <w:pStyle w:val="null3"/>
            </w:pPr>
            <w:r>
              <w:rPr/>
              <w:t>33</w:t>
            </w:r>
          </w:p>
        </w:tc>
        <w:tc>
          <w:tcPr>
            <w:tcW w:type="dxa" w:w="5814"/>
          </w:tcPr>
          <w:p>
            <w:pPr>
              <w:pStyle w:val="null3"/>
            </w:pPr>
            <w:r>
              <w:rPr>
                <w:sz w:val="21"/>
                <w:color w:val="000000"/>
              </w:rPr>
              <w:t>13)</w:t>
            </w:r>
            <w:r>
              <w:rPr>
                <w:sz w:val="21"/>
                <w:color w:val="000000"/>
              </w:rPr>
              <w:t>提供提交数据操作。勾选记录，点击提交数据，将数据由</w:t>
            </w:r>
            <w:r>
              <w:rPr>
                <w:sz w:val="21"/>
                <w:color w:val="000000"/>
              </w:rPr>
              <w:t>“待提交”状态转变为“已提交”状态，进入下一环节。如果用户未勾选任何记录，则系统默认勾选该表当前的所有记录。</w:t>
            </w:r>
          </w:p>
        </w:tc>
      </w:tr>
      <w:tr>
        <w:tc>
          <w:tcPr>
            <w:tcW w:type="dxa" w:w="2076"/>
          </w:tcPr>
          <w:p/>
        </w:tc>
        <w:tc>
          <w:tcPr>
            <w:tcW w:type="dxa" w:w="415"/>
          </w:tcPr>
          <w:p>
            <w:pPr>
              <w:pStyle w:val="null3"/>
            </w:pPr>
            <w:r>
              <w:rPr/>
              <w:t>34</w:t>
            </w:r>
          </w:p>
        </w:tc>
        <w:tc>
          <w:tcPr>
            <w:tcW w:type="dxa" w:w="5814"/>
          </w:tcPr>
          <w:p>
            <w:pPr>
              <w:pStyle w:val="null3"/>
            </w:pPr>
            <w:r>
              <w:rPr>
                <w:sz w:val="21"/>
                <w:color w:val="000000"/>
              </w:rPr>
              <w:t>14)</w:t>
            </w:r>
            <w:r>
              <w:rPr>
                <w:sz w:val="21"/>
                <w:color w:val="000000"/>
              </w:rPr>
              <w:t>支持查看提交记录。可查看所选数据表的历史提交记录列表，包括提交数量、操作时间、操作人，并支持查看具体提交的数据记录。</w:t>
            </w:r>
          </w:p>
        </w:tc>
      </w:tr>
      <w:tr>
        <w:tc>
          <w:tcPr>
            <w:tcW w:type="dxa" w:w="2076"/>
          </w:tcPr>
          <w:p/>
        </w:tc>
        <w:tc>
          <w:tcPr>
            <w:tcW w:type="dxa" w:w="415"/>
          </w:tcPr>
          <w:p>
            <w:pPr>
              <w:pStyle w:val="null3"/>
            </w:pPr>
            <w:r>
              <w:rPr/>
              <w:t>35</w:t>
            </w:r>
          </w:p>
        </w:tc>
        <w:tc>
          <w:tcPr>
            <w:tcW w:type="dxa" w:w="5814"/>
          </w:tcPr>
          <w:p>
            <w:pPr>
              <w:pStyle w:val="null3"/>
            </w:pPr>
            <w:r>
              <w:rPr>
                <w:sz w:val="21"/>
                <w:color w:val="000000"/>
              </w:rPr>
              <w:t>15)</w:t>
            </w:r>
            <w:r>
              <w:rPr>
                <w:sz w:val="21"/>
                <w:color w:val="000000"/>
              </w:rPr>
              <w:t>支持同步与查看已提交数据的后续数据状态信息。</w:t>
            </w:r>
          </w:p>
        </w:tc>
      </w:tr>
      <w:tr>
        <w:tc>
          <w:tcPr>
            <w:tcW w:type="dxa" w:w="2076"/>
          </w:tcPr>
          <w:p/>
        </w:tc>
        <w:tc>
          <w:tcPr>
            <w:tcW w:type="dxa" w:w="415"/>
          </w:tcPr>
          <w:p>
            <w:pPr>
              <w:pStyle w:val="null3"/>
            </w:pPr>
            <w:r>
              <w:rPr/>
              <w:t>36</w:t>
            </w:r>
          </w:p>
        </w:tc>
        <w:tc>
          <w:tcPr>
            <w:tcW w:type="dxa" w:w="5814"/>
          </w:tcPr>
          <w:p>
            <w:pPr>
              <w:pStyle w:val="null3"/>
              <w:ind w:left="525"/>
              <w:jc w:val="both"/>
            </w:pPr>
            <w:r>
              <w:rPr>
                <w:sz w:val="21"/>
                <w:color w:val="000000"/>
              </w:rPr>
              <w:t>7.</w:t>
            </w:r>
            <w:r>
              <w:rPr>
                <w:sz w:val="21"/>
                <w:color w:val="000000"/>
              </w:rPr>
              <w:t>数据审核</w:t>
            </w:r>
          </w:p>
          <w:p>
            <w:pPr>
              <w:pStyle w:val="null3"/>
            </w:pPr>
            <w:r>
              <w:rPr>
                <w:sz w:val="21"/>
              </w:rPr>
              <w:t>1)</w:t>
            </w:r>
            <w:r>
              <w:rPr>
                <w:sz w:val="21"/>
                <w:color w:val="000000"/>
              </w:rPr>
              <w:t>支持部门审核人审核数据，勾选数据选择通过或退回，通过就将数据流转到下一个环节。勾选记录，点击审核通过，将数据由</w:t>
            </w:r>
            <w:r>
              <w:rPr>
                <w:sz w:val="21"/>
                <w:color w:val="000000"/>
              </w:rPr>
              <w:t>“待审核”状态转变为“已审核”状态。如果用户未勾选任何记录，则系统默认勾选该表当前的所有记录。退回时要填写审核意见，将数据退回到数据采集模块交给部门采集人员进行修改后重新提交。</w:t>
            </w:r>
          </w:p>
        </w:tc>
      </w:tr>
      <w:tr>
        <w:tc>
          <w:tcPr>
            <w:tcW w:type="dxa" w:w="2076"/>
          </w:tcPr>
          <w:p/>
        </w:tc>
        <w:tc>
          <w:tcPr>
            <w:tcW w:type="dxa" w:w="415"/>
          </w:tcPr>
          <w:p>
            <w:pPr>
              <w:pStyle w:val="null3"/>
            </w:pPr>
            <w:r>
              <w:rPr/>
              <w:t>37</w:t>
            </w:r>
          </w:p>
        </w:tc>
        <w:tc>
          <w:tcPr>
            <w:tcW w:type="dxa" w:w="5814"/>
          </w:tcPr>
          <w:p>
            <w:pPr>
              <w:pStyle w:val="null3"/>
            </w:pPr>
            <w:r>
              <w:rPr>
                <w:sz w:val="21"/>
                <w:color w:val="000000"/>
              </w:rPr>
              <w:t>2)</w:t>
            </w:r>
            <w:r>
              <w:rPr>
                <w:sz w:val="21"/>
                <w:color w:val="000000"/>
              </w:rPr>
              <w:t>若有被学校审核退回的数据，支持查看审核意见。</w:t>
            </w:r>
          </w:p>
        </w:tc>
      </w:tr>
      <w:tr>
        <w:tc>
          <w:tcPr>
            <w:tcW w:type="dxa" w:w="2076"/>
          </w:tcPr>
          <w:p/>
        </w:tc>
        <w:tc>
          <w:tcPr>
            <w:tcW w:type="dxa" w:w="415"/>
          </w:tcPr>
          <w:p>
            <w:pPr>
              <w:pStyle w:val="null3"/>
            </w:pPr>
            <w:r>
              <w:rPr/>
              <w:t>38</w:t>
            </w:r>
          </w:p>
        </w:tc>
        <w:tc>
          <w:tcPr>
            <w:tcW w:type="dxa" w:w="5814"/>
          </w:tcPr>
          <w:p>
            <w:pPr>
              <w:pStyle w:val="null3"/>
            </w:pPr>
            <w:r>
              <w:rPr>
                <w:sz w:val="21"/>
                <w:color w:val="000000"/>
              </w:rPr>
              <w:t>3)</w:t>
            </w:r>
            <w:r>
              <w:rPr>
                <w:sz w:val="21"/>
                <w:color w:val="000000"/>
              </w:rPr>
              <w:t>支持新增单条数据，保存时会做格式校验，未通过不予保存。</w:t>
            </w:r>
          </w:p>
        </w:tc>
      </w:tr>
      <w:tr>
        <w:tc>
          <w:tcPr>
            <w:tcW w:type="dxa" w:w="2076"/>
          </w:tcPr>
          <w:p/>
        </w:tc>
        <w:tc>
          <w:tcPr>
            <w:tcW w:type="dxa" w:w="415"/>
          </w:tcPr>
          <w:p>
            <w:pPr>
              <w:pStyle w:val="null3"/>
            </w:pPr>
            <w:r>
              <w:rPr/>
              <w:t>39</w:t>
            </w:r>
          </w:p>
        </w:tc>
        <w:tc>
          <w:tcPr>
            <w:tcW w:type="dxa" w:w="5814"/>
          </w:tcPr>
          <w:p>
            <w:pPr>
              <w:pStyle w:val="null3"/>
            </w:pPr>
            <w:r>
              <w:rPr>
                <w:sz w:val="21"/>
                <w:color w:val="000000"/>
              </w:rPr>
              <w:t>4)</w:t>
            </w:r>
            <w:r>
              <w:rPr>
                <w:sz w:val="21"/>
                <w:color w:val="000000"/>
              </w:rPr>
              <w:t>支持修改或删除单条数据记录。支持批量删除多条数据记录。</w:t>
            </w:r>
          </w:p>
        </w:tc>
      </w:tr>
      <w:tr>
        <w:tc>
          <w:tcPr>
            <w:tcW w:type="dxa" w:w="2076"/>
          </w:tcPr>
          <w:p/>
        </w:tc>
        <w:tc>
          <w:tcPr>
            <w:tcW w:type="dxa" w:w="415"/>
          </w:tcPr>
          <w:p>
            <w:pPr>
              <w:pStyle w:val="null3"/>
            </w:pPr>
            <w:r>
              <w:rPr/>
              <w:t>40</w:t>
            </w:r>
          </w:p>
        </w:tc>
        <w:tc>
          <w:tcPr>
            <w:tcW w:type="dxa" w:w="5814"/>
          </w:tcPr>
          <w:p>
            <w:pPr>
              <w:pStyle w:val="null3"/>
            </w:pPr>
            <w:r>
              <w:rPr>
                <w:sz w:val="21"/>
                <w:color w:val="000000"/>
              </w:rPr>
              <w:t>5)</w:t>
            </w:r>
            <w:r>
              <w:rPr>
                <w:sz w:val="21"/>
                <w:color w:val="000000"/>
              </w:rPr>
              <w:t>支持根据数据状态对表内数据进行筛选。</w:t>
            </w:r>
          </w:p>
        </w:tc>
      </w:tr>
      <w:tr>
        <w:tc>
          <w:tcPr>
            <w:tcW w:type="dxa" w:w="2076"/>
          </w:tcPr>
          <w:p/>
        </w:tc>
        <w:tc>
          <w:tcPr>
            <w:tcW w:type="dxa" w:w="415"/>
          </w:tcPr>
          <w:p>
            <w:pPr>
              <w:pStyle w:val="null3"/>
            </w:pPr>
            <w:r>
              <w:rPr/>
              <w:t>41</w:t>
            </w:r>
          </w:p>
        </w:tc>
        <w:tc>
          <w:tcPr>
            <w:tcW w:type="dxa" w:w="5814"/>
          </w:tcPr>
          <w:p>
            <w:pPr>
              <w:pStyle w:val="null3"/>
            </w:pPr>
            <w:r>
              <w:rPr>
                <w:sz w:val="21"/>
                <w:color w:val="000000"/>
              </w:rPr>
              <w:t>6)</w:t>
            </w:r>
            <w:r>
              <w:rPr>
                <w:sz w:val="21"/>
                <w:color w:val="000000"/>
              </w:rPr>
              <w:t>支持查看审核记录。可查看所选数据表的历史审核记录列表，包括审核数量、操作时间、操作人，并支持查看审核具体的数据记录。</w:t>
            </w:r>
          </w:p>
        </w:tc>
      </w:tr>
      <w:tr>
        <w:tc>
          <w:tcPr>
            <w:tcW w:type="dxa" w:w="2076"/>
          </w:tcPr>
          <w:p/>
        </w:tc>
        <w:tc>
          <w:tcPr>
            <w:tcW w:type="dxa" w:w="415"/>
          </w:tcPr>
          <w:p>
            <w:pPr>
              <w:pStyle w:val="null3"/>
            </w:pPr>
            <w:r>
              <w:rPr/>
              <w:t>42</w:t>
            </w:r>
          </w:p>
        </w:tc>
        <w:tc>
          <w:tcPr>
            <w:tcW w:type="dxa" w:w="5814"/>
          </w:tcPr>
          <w:p>
            <w:pPr>
              <w:pStyle w:val="null3"/>
              <w:ind w:left="525"/>
              <w:jc w:val="both"/>
            </w:pPr>
            <w:r>
              <w:rPr>
                <w:sz w:val="21"/>
                <w:color w:val="000000"/>
              </w:rPr>
              <w:t>8.</w:t>
            </w:r>
            <w:r>
              <w:rPr>
                <w:sz w:val="21"/>
                <w:color w:val="000000"/>
              </w:rPr>
              <w:t>数据复核</w:t>
            </w:r>
          </w:p>
          <w:p>
            <w:pPr>
              <w:pStyle w:val="null3"/>
            </w:pPr>
            <w:r>
              <w:rPr>
                <w:sz w:val="21"/>
              </w:rPr>
              <w:t>1)</w:t>
            </w:r>
            <w:r>
              <w:rPr>
                <w:sz w:val="21"/>
                <w:color w:val="000000"/>
              </w:rPr>
              <w:t>支持学校复核人员复核数据，勾选数据选择通过或退回，通过就将数据流转到下一个环节。退回时要填写审核意见，将数据退回到数据采集模块交给部门采集人员进行修改后重新提交。</w:t>
            </w:r>
          </w:p>
        </w:tc>
      </w:tr>
      <w:tr>
        <w:tc>
          <w:tcPr>
            <w:tcW w:type="dxa" w:w="2076"/>
          </w:tcPr>
          <w:p/>
        </w:tc>
        <w:tc>
          <w:tcPr>
            <w:tcW w:type="dxa" w:w="415"/>
          </w:tcPr>
          <w:p>
            <w:pPr>
              <w:pStyle w:val="null3"/>
            </w:pPr>
            <w:r>
              <w:rPr/>
              <w:t>43</w:t>
            </w:r>
          </w:p>
        </w:tc>
        <w:tc>
          <w:tcPr>
            <w:tcW w:type="dxa" w:w="5814"/>
          </w:tcPr>
          <w:p>
            <w:pPr>
              <w:pStyle w:val="null3"/>
            </w:pPr>
            <w:r>
              <w:rPr>
                <w:sz w:val="21"/>
                <w:color w:val="000000"/>
              </w:rPr>
              <w:t>2)</w:t>
            </w:r>
            <w:r>
              <w:rPr>
                <w:sz w:val="21"/>
                <w:color w:val="000000"/>
              </w:rPr>
              <w:t>支持导出数据，勾选数据，将所选数据导出为</w:t>
            </w:r>
            <w:r>
              <w:rPr>
                <w:sz w:val="21"/>
                <w:color w:val="000000"/>
              </w:rPr>
              <w:t>excel格式。如果用户未勾选任何记录，则系统默认导出该表当前的所有记录。</w:t>
            </w:r>
          </w:p>
        </w:tc>
      </w:tr>
      <w:tr>
        <w:tc>
          <w:tcPr>
            <w:tcW w:type="dxa" w:w="2076"/>
          </w:tcPr>
          <w:p/>
        </w:tc>
        <w:tc>
          <w:tcPr>
            <w:tcW w:type="dxa" w:w="415"/>
          </w:tcPr>
          <w:p>
            <w:pPr>
              <w:pStyle w:val="null3"/>
            </w:pPr>
            <w:r>
              <w:rPr/>
              <w:t>44</w:t>
            </w:r>
          </w:p>
        </w:tc>
        <w:tc>
          <w:tcPr>
            <w:tcW w:type="dxa" w:w="5814"/>
          </w:tcPr>
          <w:p>
            <w:pPr>
              <w:pStyle w:val="null3"/>
            </w:pPr>
            <w:r>
              <w:rPr>
                <w:sz w:val="21"/>
                <w:color w:val="000000"/>
              </w:rPr>
              <w:t>3)</w:t>
            </w:r>
            <w:r>
              <w:rPr>
                <w:sz w:val="21"/>
                <w:color w:val="000000"/>
              </w:rPr>
              <w:t>支持对数据表进行过滤，默认开启</w:t>
            </w:r>
            <w:r>
              <w:rPr>
                <w:sz w:val="21"/>
                <w:color w:val="000000"/>
              </w:rPr>
              <w:t>“只显示需复核的数据表”开关，表示过滤显示模型配置中开启数据复核开关的数据表。可点击关闭过滤。</w:t>
            </w:r>
          </w:p>
        </w:tc>
      </w:tr>
      <w:tr>
        <w:tc>
          <w:tcPr>
            <w:tcW w:type="dxa" w:w="2076"/>
          </w:tcPr>
          <w:p/>
        </w:tc>
        <w:tc>
          <w:tcPr>
            <w:tcW w:type="dxa" w:w="415"/>
          </w:tcPr>
          <w:p>
            <w:pPr>
              <w:pStyle w:val="null3"/>
            </w:pPr>
            <w:r>
              <w:rPr/>
              <w:t>45</w:t>
            </w:r>
          </w:p>
        </w:tc>
        <w:tc>
          <w:tcPr>
            <w:tcW w:type="dxa" w:w="5814"/>
          </w:tcPr>
          <w:p>
            <w:pPr>
              <w:pStyle w:val="null3"/>
            </w:pPr>
            <w:r>
              <w:rPr>
                <w:sz w:val="21"/>
                <w:color w:val="000000"/>
              </w:rPr>
              <w:t>4)</w:t>
            </w:r>
            <w:r>
              <w:rPr>
                <w:sz w:val="21"/>
                <w:color w:val="000000"/>
              </w:rPr>
              <w:t>支持切换到采集数据</w:t>
            </w:r>
            <w:r>
              <w:rPr>
                <w:sz w:val="21"/>
                <w:color w:val="000000"/>
              </w:rPr>
              <w:t>tab页，查看数据采集模块采集的所有数据。</w:t>
            </w:r>
          </w:p>
        </w:tc>
      </w:tr>
      <w:tr>
        <w:tc>
          <w:tcPr>
            <w:tcW w:type="dxa" w:w="2076"/>
          </w:tcPr>
          <w:p/>
        </w:tc>
        <w:tc>
          <w:tcPr>
            <w:tcW w:type="dxa" w:w="415"/>
          </w:tcPr>
          <w:p>
            <w:pPr>
              <w:pStyle w:val="null3"/>
            </w:pPr>
            <w:r>
              <w:rPr/>
              <w:t>46</w:t>
            </w:r>
          </w:p>
        </w:tc>
        <w:tc>
          <w:tcPr>
            <w:tcW w:type="dxa" w:w="5814"/>
          </w:tcPr>
          <w:p>
            <w:pPr>
              <w:pStyle w:val="null3"/>
            </w:pPr>
            <w:r>
              <w:rPr>
                <w:sz w:val="21"/>
                <w:color w:val="000000"/>
              </w:rPr>
              <w:t>5)</w:t>
            </w:r>
            <w:r>
              <w:rPr>
                <w:sz w:val="21"/>
                <w:color w:val="000000"/>
              </w:rPr>
              <w:t>支持查看复核记录。可查看所选数据表的历史复核记录列表，包括复核数量、操作时间、操作人，并支持查看复核具体的数据记录。</w:t>
            </w:r>
          </w:p>
        </w:tc>
      </w:tr>
      <w:tr>
        <w:tc>
          <w:tcPr>
            <w:tcW w:type="dxa" w:w="2076"/>
          </w:tcPr>
          <w:p/>
        </w:tc>
        <w:tc>
          <w:tcPr>
            <w:tcW w:type="dxa" w:w="415"/>
          </w:tcPr>
          <w:p>
            <w:pPr>
              <w:pStyle w:val="null3"/>
            </w:pPr>
            <w:r>
              <w:rPr/>
              <w:t>47</w:t>
            </w:r>
          </w:p>
        </w:tc>
        <w:tc>
          <w:tcPr>
            <w:tcW w:type="dxa" w:w="5814"/>
          </w:tcPr>
          <w:p>
            <w:pPr>
              <w:pStyle w:val="null3"/>
              <w:ind w:left="525"/>
              <w:jc w:val="both"/>
            </w:pPr>
            <w:r>
              <w:rPr>
                <w:sz w:val="21"/>
                <w:color w:val="000000"/>
              </w:rPr>
              <w:t>9.</w:t>
            </w:r>
            <w:r>
              <w:rPr>
                <w:sz w:val="21"/>
                <w:color w:val="000000"/>
              </w:rPr>
              <w:t>上报管理</w:t>
            </w:r>
          </w:p>
          <w:p>
            <w:pPr>
              <w:pStyle w:val="null3"/>
            </w:pPr>
            <w:r>
              <w:rPr>
                <w:sz w:val="21"/>
              </w:rPr>
              <w:t>1)</w:t>
            </w:r>
            <w:r>
              <w:rPr>
                <w:sz w:val="21"/>
                <w:color w:val="000000"/>
              </w:rPr>
              <w:t>将上报表封装成数据接口，提供需要上报的高职数据集</w:t>
            </w:r>
            <w:r>
              <w:rPr>
                <w:sz w:val="21"/>
                <w:color w:val="000000"/>
              </w:rPr>
              <w:t>API接口读取服务，同时支持多个接口批量上报。</w:t>
            </w:r>
          </w:p>
        </w:tc>
      </w:tr>
      <w:tr>
        <w:tc>
          <w:tcPr>
            <w:tcW w:type="dxa" w:w="2076"/>
          </w:tcPr>
          <w:p/>
        </w:tc>
        <w:tc>
          <w:tcPr>
            <w:tcW w:type="dxa" w:w="415"/>
          </w:tcPr>
          <w:p>
            <w:pPr>
              <w:pStyle w:val="null3"/>
            </w:pPr>
            <w:r>
              <w:rPr/>
              <w:t>48</w:t>
            </w:r>
          </w:p>
        </w:tc>
        <w:tc>
          <w:tcPr>
            <w:tcW w:type="dxa" w:w="5814"/>
          </w:tcPr>
          <w:p>
            <w:pPr>
              <w:pStyle w:val="null3"/>
            </w:pPr>
            <w:r>
              <w:rPr>
                <w:sz w:val="21"/>
                <w:color w:val="000000"/>
              </w:rPr>
              <w:t>2)</w:t>
            </w:r>
            <w:r>
              <w:rPr>
                <w:sz w:val="21"/>
                <w:color w:val="000000"/>
              </w:rPr>
              <w:t>显示数据表的上报情况，包括数据表名称、推送数量、入库数量、类型、上报频率、上报状态。上报状态分为</w:t>
            </w:r>
            <w:r>
              <w:rPr>
                <w:sz w:val="21"/>
                <w:color w:val="000000"/>
              </w:rPr>
              <w:t>“待上报”、“上报受理中”、“上报失败”、“上报成功”、“空数据”五种情况。“上报成功”状态表示该表数据已成功上报给教育部。“上报失败”会提示原因。当数据表处于“上报受理中”时，若长时间未反馈可点击刷新重新查询一次。</w:t>
            </w:r>
          </w:p>
        </w:tc>
      </w:tr>
      <w:tr>
        <w:tc>
          <w:tcPr>
            <w:tcW w:type="dxa" w:w="2076"/>
          </w:tcPr>
          <w:p/>
        </w:tc>
        <w:tc>
          <w:tcPr>
            <w:tcW w:type="dxa" w:w="415"/>
          </w:tcPr>
          <w:p>
            <w:pPr>
              <w:pStyle w:val="null3"/>
            </w:pPr>
            <w:r>
              <w:rPr/>
              <w:t>49</w:t>
            </w:r>
          </w:p>
        </w:tc>
        <w:tc>
          <w:tcPr>
            <w:tcW w:type="dxa" w:w="5814"/>
          </w:tcPr>
          <w:p>
            <w:pPr>
              <w:pStyle w:val="null3"/>
            </w:pPr>
            <w:r>
              <w:rPr>
                <w:sz w:val="21"/>
                <w:color w:val="000000"/>
              </w:rPr>
              <w:t>3)</w:t>
            </w:r>
            <w:r>
              <w:rPr>
                <w:sz w:val="21"/>
                <w:color w:val="000000"/>
              </w:rPr>
              <w:t>支持上报单个数据表或批量上报多个数据表。</w:t>
            </w:r>
          </w:p>
        </w:tc>
      </w:tr>
      <w:tr>
        <w:tc>
          <w:tcPr>
            <w:tcW w:type="dxa" w:w="2076"/>
          </w:tcPr>
          <w:p/>
        </w:tc>
        <w:tc>
          <w:tcPr>
            <w:tcW w:type="dxa" w:w="415"/>
          </w:tcPr>
          <w:p>
            <w:pPr>
              <w:pStyle w:val="null3"/>
            </w:pPr>
            <w:r>
              <w:rPr/>
              <w:t>50</w:t>
            </w:r>
          </w:p>
        </w:tc>
        <w:tc>
          <w:tcPr>
            <w:tcW w:type="dxa" w:w="5814"/>
          </w:tcPr>
          <w:p>
            <w:pPr>
              <w:pStyle w:val="null3"/>
            </w:pPr>
            <w:r>
              <w:rPr>
                <w:sz w:val="21"/>
                <w:color w:val="000000"/>
              </w:rPr>
              <w:t>4)</w:t>
            </w:r>
            <w:r>
              <w:rPr>
                <w:sz w:val="21"/>
                <w:color w:val="000000"/>
              </w:rPr>
              <w:t>支持查看某数据表本次上报的具体数据，以及历史上报情况。</w:t>
            </w:r>
          </w:p>
        </w:tc>
      </w:tr>
      <w:tr>
        <w:tc>
          <w:tcPr>
            <w:tcW w:type="dxa" w:w="2076"/>
          </w:tcPr>
          <w:p/>
        </w:tc>
        <w:tc>
          <w:tcPr>
            <w:tcW w:type="dxa" w:w="415"/>
          </w:tcPr>
          <w:p>
            <w:pPr>
              <w:pStyle w:val="null3"/>
            </w:pPr>
            <w:r>
              <w:rPr/>
              <w:t>51</w:t>
            </w:r>
          </w:p>
        </w:tc>
        <w:tc>
          <w:tcPr>
            <w:tcW w:type="dxa" w:w="5814"/>
          </w:tcPr>
          <w:p>
            <w:pPr>
              <w:pStyle w:val="null3"/>
            </w:pPr>
            <w:r>
              <w:rPr>
                <w:sz w:val="21"/>
                <w:color w:val="000000"/>
              </w:rPr>
              <w:t>5)</w:t>
            </w:r>
            <w:r>
              <w:rPr>
                <w:sz w:val="21"/>
                <w:color w:val="000000"/>
              </w:rPr>
              <w:t>支持通过输入表名、上报时间、上报状态筛选并查看上报信息列表。</w:t>
            </w:r>
          </w:p>
        </w:tc>
      </w:tr>
      <w:tr>
        <w:tc>
          <w:tcPr>
            <w:tcW w:type="dxa" w:w="2076"/>
          </w:tcPr>
          <w:p/>
        </w:tc>
        <w:tc>
          <w:tcPr>
            <w:tcW w:type="dxa" w:w="415"/>
          </w:tcPr>
          <w:p>
            <w:pPr>
              <w:pStyle w:val="null3"/>
            </w:pPr>
            <w:r>
              <w:rPr/>
              <w:t>52</w:t>
            </w:r>
          </w:p>
        </w:tc>
        <w:tc>
          <w:tcPr>
            <w:tcW w:type="dxa" w:w="5814"/>
          </w:tcPr>
          <w:p>
            <w:pPr>
              <w:pStyle w:val="null3"/>
            </w:pPr>
            <w:r>
              <w:rPr>
                <w:sz w:val="21"/>
                <w:color w:val="000000"/>
              </w:rPr>
              <w:t>6)</w:t>
            </w:r>
            <w:r>
              <w:rPr>
                <w:sz w:val="21"/>
                <w:color w:val="000000"/>
              </w:rPr>
              <w:t>支持对已上报数据进行统计分析，帮助学校直观地查看当前的数据上报情况。支持查看整体上报数据情况：今日上报数据表（当天上报成功的数据表张数）、今日上报数据量（当天上报成功的数据记录条数）、累计上报总次数（所有表加起来上报成功的总次数）、累计上报数据量（所有表加起来上报成功的数据量）。</w:t>
            </w:r>
          </w:p>
        </w:tc>
      </w:tr>
      <w:tr>
        <w:tc>
          <w:tcPr>
            <w:tcW w:type="dxa" w:w="2076"/>
          </w:tcPr>
          <w:p/>
        </w:tc>
        <w:tc>
          <w:tcPr>
            <w:tcW w:type="dxa" w:w="415"/>
          </w:tcPr>
          <w:p>
            <w:pPr>
              <w:pStyle w:val="null3"/>
            </w:pPr>
            <w:r>
              <w:rPr/>
              <w:t>53</w:t>
            </w:r>
          </w:p>
        </w:tc>
        <w:tc>
          <w:tcPr>
            <w:tcW w:type="dxa" w:w="5814"/>
          </w:tcPr>
          <w:p>
            <w:pPr>
              <w:pStyle w:val="null3"/>
            </w:pPr>
            <w:r>
              <w:rPr>
                <w:sz w:val="21"/>
                <w:color w:val="000000"/>
              </w:rPr>
              <w:t>7)</w:t>
            </w:r>
            <w:r>
              <w:rPr>
                <w:sz w:val="21"/>
                <w:color w:val="000000"/>
              </w:rPr>
              <w:t>支持以列表的形式查看已上报数据表的上报情况，包括首次上报时间、末次上报时间、累计上报次数、已上报数据量、首次上报数据量、累计新增数据量。支持对列表进行数据量或者时间进行排序。支持导出当前列表信息。</w:t>
            </w:r>
          </w:p>
        </w:tc>
      </w:tr>
      <w:tr>
        <w:tc>
          <w:tcPr>
            <w:tcW w:type="dxa" w:w="2076"/>
          </w:tcPr>
          <w:p/>
        </w:tc>
        <w:tc>
          <w:tcPr>
            <w:tcW w:type="dxa" w:w="415"/>
          </w:tcPr>
          <w:p>
            <w:pPr>
              <w:pStyle w:val="null3"/>
            </w:pPr>
            <w:r>
              <w:rPr/>
              <w:t>54</w:t>
            </w:r>
          </w:p>
        </w:tc>
        <w:tc>
          <w:tcPr>
            <w:tcW w:type="dxa" w:w="5814"/>
          </w:tcPr>
          <w:p>
            <w:pPr>
              <w:pStyle w:val="null3"/>
            </w:pPr>
            <w:r>
              <w:rPr>
                <w:sz w:val="21"/>
                <w:color w:val="000000"/>
              </w:rPr>
              <w:t>8)</w:t>
            </w:r>
            <w:r>
              <w:rPr>
                <w:sz w:val="21"/>
                <w:color w:val="000000"/>
              </w:rPr>
              <w:t>支持查看所有数据表或者所选数据表的上报数据量随时间变化、上报次数随时间变化的折线图。可选择近</w:t>
            </w:r>
            <w:r>
              <w:rPr>
                <w:sz w:val="21"/>
                <w:color w:val="000000"/>
              </w:rPr>
              <w:t>1周、近1月、近3月、近6月、近1年、自定义六种时间范围。支持以png格式下载当前统计图。</w:t>
            </w:r>
          </w:p>
        </w:tc>
      </w:tr>
      <w:tr>
        <w:tc>
          <w:tcPr>
            <w:tcW w:type="dxa" w:w="2076"/>
          </w:tcPr>
          <w:p/>
        </w:tc>
        <w:tc>
          <w:tcPr>
            <w:tcW w:type="dxa" w:w="415"/>
          </w:tcPr>
          <w:p>
            <w:pPr>
              <w:pStyle w:val="null3"/>
            </w:pPr>
            <w:r>
              <w:rPr/>
              <w:t>55</w:t>
            </w:r>
          </w:p>
        </w:tc>
        <w:tc>
          <w:tcPr>
            <w:tcW w:type="dxa" w:w="5814"/>
          </w:tcPr>
          <w:p>
            <w:pPr>
              <w:pStyle w:val="null3"/>
            </w:pPr>
            <w:r>
              <w:rPr>
                <w:sz w:val="21"/>
                <w:color w:val="000000"/>
              </w:rPr>
              <w:t>9)</w:t>
            </w:r>
            <w:r>
              <w:rPr>
                <w:sz w:val="21"/>
                <w:color w:val="000000"/>
              </w:rPr>
              <w:t>支持以已成功上报数据与采集数据两种维度进行统计，展示所选全部或某一数据表的来自数据同步、数据导入、数据补录的数据量与所占比例。</w:t>
            </w:r>
          </w:p>
        </w:tc>
      </w:tr>
      <w:tr>
        <w:tc>
          <w:tcPr>
            <w:tcW w:type="dxa" w:w="2076"/>
          </w:tcPr>
          <w:p/>
        </w:tc>
        <w:tc>
          <w:tcPr>
            <w:tcW w:type="dxa" w:w="415"/>
          </w:tcPr>
          <w:p>
            <w:pPr>
              <w:pStyle w:val="null3"/>
            </w:pPr>
            <w:r>
              <w:rPr/>
              <w:t>56</w:t>
            </w:r>
          </w:p>
        </w:tc>
        <w:tc>
          <w:tcPr>
            <w:tcW w:type="dxa" w:w="5814"/>
          </w:tcPr>
          <w:p>
            <w:pPr>
              <w:pStyle w:val="null3"/>
              <w:ind w:left="525"/>
              <w:jc w:val="both"/>
            </w:pPr>
            <w:r>
              <w:rPr>
                <w:sz w:val="21"/>
                <w:color w:val="000000"/>
              </w:rPr>
              <w:t>10.</w:t>
            </w:r>
            <w:r>
              <w:rPr>
                <w:sz w:val="21"/>
                <w:color w:val="000000"/>
              </w:rPr>
              <w:t>工作进度</w:t>
            </w:r>
          </w:p>
          <w:p>
            <w:pPr>
              <w:pStyle w:val="null3"/>
            </w:pPr>
            <w:r>
              <w:rPr>
                <w:sz w:val="21"/>
              </w:rPr>
              <w:t>1)</w:t>
            </w:r>
            <w:r>
              <w:rPr>
                <w:sz w:val="21"/>
                <w:color w:val="000000"/>
              </w:rPr>
              <w:t>支持查看今日任务情况，包括待提交表单、待审核表单、待复核表单的数量及明细，待上报表单、上报成功表单、上报失败表单的数量，支持查看质量检测存在问题数、问题类型数、将逾期表单数及已逾期表单数。</w:t>
            </w:r>
          </w:p>
        </w:tc>
      </w:tr>
      <w:tr>
        <w:tc>
          <w:tcPr>
            <w:tcW w:type="dxa" w:w="2076"/>
          </w:tcPr>
          <w:p/>
        </w:tc>
        <w:tc>
          <w:tcPr>
            <w:tcW w:type="dxa" w:w="415"/>
          </w:tcPr>
          <w:p>
            <w:pPr>
              <w:pStyle w:val="null3"/>
            </w:pPr>
            <w:r>
              <w:rPr/>
              <w:t>57</w:t>
            </w:r>
          </w:p>
        </w:tc>
        <w:tc>
          <w:tcPr>
            <w:tcW w:type="dxa" w:w="5814"/>
          </w:tcPr>
          <w:p>
            <w:pPr>
              <w:pStyle w:val="null3"/>
            </w:pPr>
            <w:r>
              <w:rPr>
                <w:sz w:val="21"/>
                <w:color w:val="000000"/>
              </w:rPr>
              <w:t>2)</w:t>
            </w:r>
            <w:r>
              <w:rPr>
                <w:sz w:val="21"/>
                <w:color w:val="000000"/>
              </w:rPr>
              <w:t>支持查看当前数据中心建设情况，数据中心数据可支撑生成职教大脑数据上报平台上报表单的数量和数据中心无法支撑到的表单数量。</w:t>
            </w:r>
          </w:p>
        </w:tc>
      </w:tr>
      <w:tr>
        <w:tc>
          <w:tcPr>
            <w:tcW w:type="dxa" w:w="2076"/>
          </w:tcPr>
          <w:p/>
        </w:tc>
        <w:tc>
          <w:tcPr>
            <w:tcW w:type="dxa" w:w="415"/>
          </w:tcPr>
          <w:p>
            <w:pPr>
              <w:pStyle w:val="null3"/>
            </w:pPr>
            <w:r>
              <w:rPr/>
              <w:t>58</w:t>
            </w:r>
          </w:p>
        </w:tc>
        <w:tc>
          <w:tcPr>
            <w:tcW w:type="dxa" w:w="5814"/>
          </w:tcPr>
          <w:p>
            <w:pPr>
              <w:pStyle w:val="null3"/>
            </w:pPr>
            <w:r>
              <w:rPr>
                <w:sz w:val="21"/>
                <w:color w:val="000000"/>
              </w:rPr>
              <w:t>3)</w:t>
            </w:r>
            <w:r>
              <w:rPr>
                <w:sz w:val="21"/>
                <w:color w:val="000000"/>
              </w:rPr>
              <w:t>支持查看总体的上报情况包括今日推送表数量、今日推送次数、今日总推送数据量、总推送表数、总推送次数及总推送数据量。</w:t>
            </w:r>
          </w:p>
        </w:tc>
      </w:tr>
      <w:tr>
        <w:tc>
          <w:tcPr>
            <w:tcW w:type="dxa" w:w="2076"/>
          </w:tcPr>
          <w:p/>
        </w:tc>
        <w:tc>
          <w:tcPr>
            <w:tcW w:type="dxa" w:w="415"/>
          </w:tcPr>
          <w:p>
            <w:pPr>
              <w:pStyle w:val="null3"/>
            </w:pPr>
            <w:r>
              <w:rPr/>
              <w:t>59</w:t>
            </w:r>
          </w:p>
        </w:tc>
        <w:tc>
          <w:tcPr>
            <w:tcW w:type="dxa" w:w="5814"/>
          </w:tcPr>
          <w:p>
            <w:pPr>
              <w:pStyle w:val="null3"/>
            </w:pPr>
            <w:r>
              <w:rPr>
                <w:sz w:val="21"/>
                <w:color w:val="000000"/>
              </w:rPr>
              <w:t>4)</w:t>
            </w:r>
            <w:r>
              <w:rPr>
                <w:sz w:val="21"/>
                <w:color w:val="000000"/>
              </w:rPr>
              <w:t>支持查看表单上报数据量近七天变化情况。</w:t>
            </w:r>
          </w:p>
        </w:tc>
      </w:tr>
      <w:tr>
        <w:tc>
          <w:tcPr>
            <w:tcW w:type="dxa" w:w="2076"/>
          </w:tcPr>
          <w:p/>
        </w:tc>
        <w:tc>
          <w:tcPr>
            <w:tcW w:type="dxa" w:w="415"/>
          </w:tcPr>
          <w:p>
            <w:pPr>
              <w:pStyle w:val="null3"/>
            </w:pPr>
            <w:r>
              <w:rPr/>
              <w:t>60</w:t>
            </w:r>
          </w:p>
        </w:tc>
        <w:tc>
          <w:tcPr>
            <w:tcW w:type="dxa" w:w="5814"/>
          </w:tcPr>
          <w:p>
            <w:pPr>
              <w:pStyle w:val="null3"/>
            </w:pPr>
            <w:r>
              <w:rPr>
                <w:sz w:val="21"/>
                <w:color w:val="000000"/>
              </w:rPr>
              <w:t>5)</w:t>
            </w:r>
            <w:r>
              <w:rPr>
                <w:sz w:val="21"/>
                <w:color w:val="000000"/>
              </w:rPr>
              <w:t>支持查看表单数据各来源情况及占比。</w:t>
            </w:r>
          </w:p>
        </w:tc>
      </w:tr>
      <w:tr>
        <w:tc>
          <w:tcPr>
            <w:tcW w:type="dxa" w:w="2076"/>
          </w:tcPr>
          <w:p/>
        </w:tc>
        <w:tc>
          <w:tcPr>
            <w:tcW w:type="dxa" w:w="415"/>
          </w:tcPr>
          <w:p>
            <w:pPr>
              <w:pStyle w:val="null3"/>
            </w:pPr>
            <w:r>
              <w:rPr/>
              <w:t>61</w:t>
            </w:r>
          </w:p>
        </w:tc>
        <w:tc>
          <w:tcPr>
            <w:tcW w:type="dxa" w:w="5814"/>
          </w:tcPr>
          <w:p>
            <w:pPr>
              <w:pStyle w:val="null3"/>
            </w:pPr>
            <w:r>
              <w:rPr>
                <w:sz w:val="21"/>
                <w:color w:val="000000"/>
              </w:rPr>
              <w:t>6)</w:t>
            </w:r>
            <w:r>
              <w:rPr>
                <w:sz w:val="21"/>
                <w:color w:val="000000"/>
              </w:rPr>
              <w:t>支持查看任务完成的情况，以日历、月历、年历的方式呈现不同上报表单上报频率的上报表数量及上报数据量。</w:t>
            </w:r>
          </w:p>
        </w:tc>
      </w:tr>
      <w:tr>
        <w:tc>
          <w:tcPr>
            <w:tcW w:type="dxa" w:w="2076"/>
          </w:tcPr>
          <w:p/>
        </w:tc>
        <w:tc>
          <w:tcPr>
            <w:tcW w:type="dxa" w:w="415"/>
          </w:tcPr>
          <w:p>
            <w:pPr>
              <w:pStyle w:val="null3"/>
            </w:pPr>
            <w:r>
              <w:rPr/>
              <w:t>62</w:t>
            </w:r>
          </w:p>
        </w:tc>
        <w:tc>
          <w:tcPr>
            <w:tcW w:type="dxa" w:w="5814"/>
          </w:tcPr>
          <w:p>
            <w:pPr>
              <w:pStyle w:val="null3"/>
            </w:pPr>
            <w:r>
              <w:rPr>
                <w:sz w:val="21"/>
                <w:color w:val="000000"/>
              </w:rPr>
              <w:t>7)</w:t>
            </w:r>
            <w:r>
              <w:rPr>
                <w:sz w:val="21"/>
                <w:color w:val="000000"/>
              </w:rPr>
              <w:t>支持查看上报逾期情况，查看各单位逾期次数及逾期具体表单情况。</w:t>
            </w:r>
          </w:p>
        </w:tc>
      </w:tr>
      <w:tr>
        <w:tc>
          <w:tcPr>
            <w:tcW w:type="dxa" w:w="2076"/>
          </w:tcPr>
          <w:p/>
        </w:tc>
        <w:tc>
          <w:tcPr>
            <w:tcW w:type="dxa" w:w="415"/>
          </w:tcPr>
          <w:p>
            <w:pPr>
              <w:pStyle w:val="null3"/>
            </w:pPr>
            <w:r>
              <w:rPr/>
              <w:t>63</w:t>
            </w:r>
          </w:p>
        </w:tc>
        <w:tc>
          <w:tcPr>
            <w:tcW w:type="dxa" w:w="5814"/>
          </w:tcPr>
          <w:p>
            <w:pPr>
              <w:pStyle w:val="null3"/>
            </w:pPr>
            <w:r>
              <w:rPr>
                <w:sz w:val="21"/>
                <w:color w:val="000000"/>
              </w:rPr>
              <w:t>8)</w:t>
            </w:r>
            <w:r>
              <w:rPr>
                <w:sz w:val="21"/>
                <w:color w:val="000000"/>
              </w:rPr>
              <w:t>支持查看上报详情，可按上报频率查看不同频率表单的最近上报时间、上报数据量、今日上报情况及逾期次数、待提交数据量、待审核数据量、待上报数据量等，支持按照表单责任部门进行筛选查看，支持导出上报详情。</w:t>
            </w:r>
          </w:p>
        </w:tc>
      </w:tr>
      <w:tr>
        <w:tc>
          <w:tcPr>
            <w:tcW w:type="dxa" w:w="2076"/>
          </w:tcPr>
          <w:p/>
        </w:tc>
        <w:tc>
          <w:tcPr>
            <w:tcW w:type="dxa" w:w="415"/>
          </w:tcPr>
          <w:p>
            <w:pPr>
              <w:pStyle w:val="null3"/>
            </w:pPr>
            <w:r>
              <w:rPr/>
              <w:t>64</w:t>
            </w:r>
          </w:p>
        </w:tc>
        <w:tc>
          <w:tcPr>
            <w:tcW w:type="dxa" w:w="5814"/>
          </w:tcPr>
          <w:p>
            <w:pPr>
              <w:pStyle w:val="null3"/>
              <w:ind w:left="525"/>
              <w:jc w:val="both"/>
            </w:pPr>
            <w:r>
              <w:rPr>
                <w:sz w:val="21"/>
                <w:color w:val="000000"/>
              </w:rPr>
              <w:t>11.</w:t>
            </w:r>
            <w:r>
              <w:rPr>
                <w:sz w:val="21"/>
                <w:color w:val="000000"/>
              </w:rPr>
              <w:t>指标监测</w:t>
            </w:r>
          </w:p>
          <w:p>
            <w:pPr>
              <w:pStyle w:val="null3"/>
            </w:pPr>
            <w:r>
              <w:rPr>
                <w:sz w:val="21"/>
              </w:rPr>
              <w:t>1)</w:t>
            </w:r>
            <w:r>
              <w:rPr>
                <w:sz w:val="21"/>
                <w:color w:val="000000"/>
              </w:rPr>
              <w:t>提供总览、师生发展、教育教学、管理服务、信息化支撑与网络安全五张指标概况。</w:t>
            </w:r>
          </w:p>
        </w:tc>
      </w:tr>
      <w:tr>
        <w:tc>
          <w:tcPr>
            <w:tcW w:type="dxa" w:w="2076"/>
          </w:tcPr>
          <w:p/>
        </w:tc>
        <w:tc>
          <w:tcPr>
            <w:tcW w:type="dxa" w:w="415"/>
          </w:tcPr>
          <w:p>
            <w:pPr>
              <w:pStyle w:val="null3"/>
            </w:pPr>
            <w:r>
              <w:rPr/>
              <w:t>65</w:t>
            </w:r>
          </w:p>
        </w:tc>
        <w:tc>
          <w:tcPr>
            <w:tcW w:type="dxa" w:w="5814"/>
          </w:tcPr>
          <w:p>
            <w:pPr>
              <w:pStyle w:val="null3"/>
            </w:pPr>
            <w:r>
              <w:rPr>
                <w:sz w:val="21"/>
                <w:color w:val="000000"/>
              </w:rPr>
              <w:t>2)</w:t>
            </w:r>
            <w:r>
              <w:rPr>
                <w:sz w:val="21"/>
                <w:color w:val="000000"/>
              </w:rPr>
              <w:t>支持查看学校现有师生数指标、进修培训、科研成果、学术讲座、兼职实践、社团活动、党建思政、一卡通、图书借阅、在线事务办理、实验实训、实习就业等维度指标。</w:t>
            </w:r>
          </w:p>
        </w:tc>
      </w:tr>
      <w:tr>
        <w:tc>
          <w:tcPr>
            <w:tcW w:type="dxa" w:w="2076"/>
          </w:tcPr>
          <w:p/>
        </w:tc>
        <w:tc>
          <w:tcPr>
            <w:tcW w:type="dxa" w:w="415"/>
          </w:tcPr>
          <w:p>
            <w:pPr>
              <w:pStyle w:val="null3"/>
            </w:pPr>
            <w:r>
              <w:rPr/>
              <w:t>66</w:t>
            </w:r>
          </w:p>
        </w:tc>
        <w:tc>
          <w:tcPr>
            <w:tcW w:type="dxa" w:w="5814"/>
          </w:tcPr>
          <w:p>
            <w:pPr>
              <w:pStyle w:val="null3"/>
            </w:pPr>
            <w:r>
              <w:rPr>
                <w:sz w:val="21"/>
                <w:color w:val="000000"/>
              </w:rPr>
              <w:t>3)</w:t>
            </w:r>
            <w:r>
              <w:rPr>
                <w:sz w:val="21"/>
                <w:color w:val="000000"/>
              </w:rPr>
              <w:t>支持查看教学今日概况、数字资源、课程建设、专业建设、岗位实习、实验实训、产教融合、教学情况、课证融通、视频巡课等指标。</w:t>
            </w:r>
          </w:p>
        </w:tc>
      </w:tr>
      <w:tr>
        <w:tc>
          <w:tcPr>
            <w:tcW w:type="dxa" w:w="2076"/>
          </w:tcPr>
          <w:p/>
        </w:tc>
        <w:tc>
          <w:tcPr>
            <w:tcW w:type="dxa" w:w="415"/>
          </w:tcPr>
          <w:p>
            <w:pPr>
              <w:pStyle w:val="null3"/>
            </w:pPr>
            <w:r>
              <w:rPr/>
              <w:t>67</w:t>
            </w:r>
          </w:p>
        </w:tc>
        <w:tc>
          <w:tcPr>
            <w:tcW w:type="dxa" w:w="5814"/>
          </w:tcPr>
          <w:p>
            <w:pPr>
              <w:pStyle w:val="null3"/>
            </w:pPr>
            <w:r>
              <w:rPr>
                <w:sz w:val="21"/>
                <w:color w:val="000000"/>
              </w:rPr>
              <w:t>4)</w:t>
            </w:r>
            <w:r>
              <w:rPr>
                <w:sz w:val="21"/>
                <w:color w:val="000000"/>
              </w:rPr>
              <w:t>支持查看本学期师生概况、科研进修、兼职实践、教师考核、综合评价、奖助贷情况、就业情况、教师画像、学生画像、党建思政等指标。</w:t>
            </w:r>
          </w:p>
        </w:tc>
      </w:tr>
      <w:tr>
        <w:tc>
          <w:tcPr>
            <w:tcW w:type="dxa" w:w="2076"/>
          </w:tcPr>
          <w:p/>
        </w:tc>
        <w:tc>
          <w:tcPr>
            <w:tcW w:type="dxa" w:w="415"/>
          </w:tcPr>
          <w:p>
            <w:pPr>
              <w:pStyle w:val="null3"/>
            </w:pPr>
            <w:r>
              <w:rPr/>
              <w:t>68</w:t>
            </w:r>
          </w:p>
        </w:tc>
        <w:tc>
          <w:tcPr>
            <w:tcW w:type="dxa" w:w="5814"/>
          </w:tcPr>
          <w:p>
            <w:pPr>
              <w:pStyle w:val="null3"/>
            </w:pPr>
            <w:r>
              <w:rPr>
                <w:sz w:val="21"/>
                <w:color w:val="000000"/>
              </w:rPr>
              <w:t>5)</w:t>
            </w:r>
            <w:r>
              <w:rPr>
                <w:sz w:val="21"/>
                <w:color w:val="000000"/>
              </w:rPr>
              <w:t>支持查看今日事务情况，包括在线办理事务人次、今日心理咨询人次、今日校园动态条数，支持查看校园动态明细、一站式服务办理分析、获奖情况、科研经费、学生离校、心理咨询、一卡通使用等方面的指标。</w:t>
            </w:r>
          </w:p>
        </w:tc>
      </w:tr>
      <w:tr>
        <w:tc>
          <w:tcPr>
            <w:tcW w:type="dxa" w:w="2076"/>
          </w:tcPr>
          <w:p/>
        </w:tc>
        <w:tc>
          <w:tcPr>
            <w:tcW w:type="dxa" w:w="415"/>
          </w:tcPr>
          <w:p>
            <w:pPr>
              <w:pStyle w:val="null3"/>
            </w:pPr>
            <w:r>
              <w:rPr/>
              <w:t>69</w:t>
            </w:r>
          </w:p>
        </w:tc>
        <w:tc>
          <w:tcPr>
            <w:tcW w:type="dxa" w:w="5814"/>
          </w:tcPr>
          <w:p>
            <w:pPr>
              <w:pStyle w:val="null3"/>
            </w:pPr>
            <w:r>
              <w:rPr>
                <w:sz w:val="21"/>
                <w:color w:val="000000"/>
              </w:rPr>
              <w:t>6)</w:t>
            </w:r>
            <w:r>
              <w:rPr>
                <w:sz w:val="21"/>
                <w:color w:val="000000"/>
              </w:rPr>
              <w:t>支持查看数据集成、网络情况、网络安全、虚拟仿真基地、教学资源访问、信息化系统建设情况、特色信息化系统建设情况、平安校园、绿色校园等指标。</w:t>
            </w:r>
          </w:p>
        </w:tc>
      </w:tr>
      <w:tr>
        <w:tc>
          <w:tcPr>
            <w:tcW w:type="dxa" w:w="2076"/>
          </w:tcPr>
          <w:p/>
        </w:tc>
        <w:tc>
          <w:tcPr>
            <w:tcW w:type="dxa" w:w="415"/>
          </w:tcPr>
          <w:p>
            <w:pPr>
              <w:pStyle w:val="null3"/>
            </w:pPr>
            <w:r>
              <w:rPr/>
              <w:t>70</w:t>
            </w:r>
          </w:p>
        </w:tc>
        <w:tc>
          <w:tcPr>
            <w:tcW w:type="dxa" w:w="5814"/>
          </w:tcPr>
          <w:p>
            <w:pPr>
              <w:pStyle w:val="null3"/>
              <w:ind w:left="525"/>
              <w:jc w:val="both"/>
            </w:pPr>
            <w:r>
              <w:rPr>
                <w:sz w:val="21"/>
                <w:color w:val="000000"/>
              </w:rPr>
              <w:t>12.</w:t>
            </w:r>
            <w:r>
              <w:rPr>
                <w:sz w:val="21"/>
                <w:color w:val="000000"/>
              </w:rPr>
              <w:t>消息通知</w:t>
            </w:r>
          </w:p>
          <w:p>
            <w:pPr>
              <w:pStyle w:val="null3"/>
            </w:pPr>
            <w:r>
              <w:rPr>
                <w:sz w:val="21"/>
              </w:rPr>
              <w:t>1)</w:t>
            </w:r>
            <w:r>
              <w:rPr>
                <w:sz w:val="21"/>
                <w:color w:val="000000"/>
              </w:rPr>
              <w:t>支持对于不同角色在数据流转的不同环节发送消息提醒。消息通知分三种：待处理消息、审批消息、报警消息，结合权限控制，给不同角色分发不同的消息通知。</w:t>
            </w:r>
          </w:p>
        </w:tc>
      </w:tr>
      <w:tr>
        <w:tc>
          <w:tcPr>
            <w:tcW w:type="dxa" w:w="2076"/>
          </w:tcPr>
          <w:p/>
        </w:tc>
        <w:tc>
          <w:tcPr>
            <w:tcW w:type="dxa" w:w="415"/>
          </w:tcPr>
          <w:p>
            <w:pPr>
              <w:pStyle w:val="null3"/>
            </w:pPr>
            <w:r>
              <w:rPr/>
              <w:t>71</w:t>
            </w:r>
          </w:p>
        </w:tc>
        <w:tc>
          <w:tcPr>
            <w:tcW w:type="dxa" w:w="5814"/>
          </w:tcPr>
          <w:p>
            <w:pPr>
              <w:pStyle w:val="null3"/>
            </w:pPr>
            <w:r>
              <w:rPr>
                <w:sz w:val="21"/>
              </w:rPr>
              <w:t>2)</w:t>
            </w:r>
            <w:r>
              <w:rPr>
                <w:sz w:val="21"/>
                <w:color w:val="000000"/>
              </w:rPr>
              <w:t>支持发送待办消息，提示待提交表单、待审核表单。</w:t>
            </w:r>
          </w:p>
        </w:tc>
      </w:tr>
      <w:tr>
        <w:tc>
          <w:tcPr>
            <w:tcW w:type="dxa" w:w="2076"/>
          </w:tcPr>
          <w:p>
            <w:pPr>
              <w:pStyle w:val="null3"/>
            </w:pPr>
            <w:r>
              <w:rPr/>
              <w:t>说明</w:t>
            </w:r>
          </w:p>
        </w:tc>
        <w:tc>
          <w:tcPr>
            <w:tcW w:type="dxa" w:w="6229"/>
            <w:gridSpan w:val="2"/>
          </w:tcPr>
          <w:p>
            <w:pPr>
              <w:pStyle w:val="null3"/>
              <w:jc w:val="left"/>
            </w:pPr>
            <w:r>
              <w:rPr/>
              <w:t xml:space="preserve"> 打“★”号条款为实质性条款，若有任何一条负偏离或不满足则导致投标无效。 </w:t>
            </w:r>
            <w:r>
              <w:br/>
            </w:r>
            <w:r>
              <w:rPr/>
              <w:t>打“▲”号条款为重要技术参数，若有部分“▲”条款未响应或不满足，不作为无效投标条款。</w:t>
            </w:r>
          </w:p>
        </w:tc>
      </w:tr>
    </w:tbl>
    <w:p>
      <w:pPr>
        <w:pStyle w:val="null3"/>
      </w:pPr>
      <w:r>
        <w:rPr>
          <w:b/>
        </w:rPr>
        <w:t>附表</w:t>
      </w:r>
      <w:r>
        <w:rPr>
          <w:b/>
        </w:rPr>
        <w:t>二十四</w:t>
      </w:r>
      <w:r>
        <w:rPr>
          <w:b/>
        </w:rPr>
        <w:t>：</w:t>
      </w:r>
      <w:r>
        <w:rPr>
          <w:b/>
        </w:rPr>
        <w:t>行政办公系统升级</w:t>
      </w:r>
    </w:p>
    <w:tbl>
      <w:tblPr>
        <w:tblW w:w="0" w:type="auto"/>
        <w:tblBorders>
          <w:top w:val="single"/>
          <w:left w:val="single"/>
          <w:bottom w:val="single"/>
          <w:right w:val="single"/>
          <w:insideH w:val="single"/>
          <w:insideV w:val="single"/>
        </w:tblBorders>
      </w:tblPr>
      <w:tblGrid>
        <w:gridCol w:w="2076"/>
        <w:gridCol w:w="415"/>
        <w:gridCol w:w="5814"/>
      </w:tblGrid>
      <w:tr>
        <w:tc>
          <w:tcPr>
            <w:tcW w:type="dxa" w:w="2076"/>
          </w:tcPr>
          <w:p>
            <w:pPr>
              <w:pStyle w:val="null3"/>
            </w:pPr>
            <w:r>
              <w:rPr/>
              <w:t>参数性质</w:t>
            </w:r>
          </w:p>
        </w:tc>
        <w:tc>
          <w:tcPr>
            <w:tcW w:type="dxa" w:w="415"/>
          </w:tcPr>
          <w:p>
            <w:pPr>
              <w:pStyle w:val="null3"/>
            </w:pPr>
            <w:r>
              <w:rPr/>
              <w:t>序号</w:t>
            </w:r>
          </w:p>
        </w:tc>
        <w:tc>
          <w:tcPr>
            <w:tcW w:type="dxa" w:w="5814"/>
          </w:tcPr>
          <w:p>
            <w:pPr>
              <w:pStyle w:val="null3"/>
            </w:pPr>
            <w:r>
              <w:rPr/>
              <w:t>具体技术(参数)要求</w:t>
            </w:r>
          </w:p>
        </w:tc>
      </w:tr>
      <w:tr>
        <w:tc>
          <w:tcPr>
            <w:tcW w:type="dxa" w:w="2076"/>
          </w:tcPr>
          <w:p/>
        </w:tc>
        <w:tc>
          <w:tcPr>
            <w:tcW w:type="dxa" w:w="415"/>
          </w:tcPr>
          <w:p>
            <w:pPr>
              <w:pStyle w:val="null3"/>
            </w:pPr>
            <w:r>
              <w:rPr/>
              <w:t>1</w:t>
            </w:r>
          </w:p>
        </w:tc>
        <w:tc>
          <w:tcPr>
            <w:tcW w:type="dxa" w:w="5814"/>
          </w:tcPr>
          <w:p>
            <w:pPr>
              <w:pStyle w:val="null3"/>
            </w:pPr>
            <w:r>
              <w:rPr>
                <w:sz w:val="21"/>
              </w:rPr>
              <w:t>新增通知公告变更审核流程，对已发布的内容申请人申请修改，审核人进行审核可重新发布，保留审核记录及修改内容。行政办公系统通知公告页面显示调整，将显示的黑色边框调整。通知公告编辑器优化，包括格式、字体选择、页面显示，超链接选择等功能，页面附件增加上下顺序选择功能。发文查询及收文查询根据列表字段增加查询条件。传阅管理菜单页面，增加按部门下拉框查询条件及传阅人查询。信息发布增加按个人申请、按部门按学院显示的查询菜单。会议管理页面需显示流程审核结点的页面。校内邮件发送人员及抄送人员选择页面显示优化，只显示用户。</w:t>
            </w:r>
          </w:p>
        </w:tc>
      </w:tr>
      <w:tr>
        <w:tc>
          <w:tcPr>
            <w:tcW w:type="dxa" w:w="2076"/>
          </w:tcPr>
          <w:p>
            <w:pPr>
              <w:pStyle w:val="null3"/>
            </w:pPr>
            <w:r>
              <w:rPr/>
              <w:t>说明</w:t>
            </w:r>
          </w:p>
        </w:tc>
        <w:tc>
          <w:tcPr>
            <w:tcW w:type="dxa" w:w="6229"/>
            <w:gridSpan w:val="2"/>
          </w:tcPr>
          <w:p>
            <w:pPr>
              <w:pStyle w:val="null3"/>
              <w:jc w:val="left"/>
            </w:pPr>
            <w:r>
              <w:rPr/>
              <w:t xml:space="preserve"> 打“★”号条款为实质性条款，若有任何一条负偏离或不满足则导致投标无效。 </w:t>
            </w:r>
            <w:r>
              <w:br/>
            </w:r>
            <w:r>
              <w:rPr/>
              <w:t>打“▲”号条款为重要技术参数，若有部分“▲”条款未响应或不满足，不作为无效投标条款。</w:t>
            </w:r>
          </w:p>
        </w:tc>
      </w:tr>
    </w:tbl>
    <w:p>
      <w:pPr>
        <w:pStyle w:val="null3"/>
      </w:pPr>
      <w:r>
        <w:rPr>
          <w:b/>
        </w:rPr>
        <w:t>附表</w:t>
      </w:r>
      <w:r>
        <w:rPr>
          <w:b/>
        </w:rPr>
        <w:t>二十五</w:t>
      </w:r>
      <w:r>
        <w:rPr>
          <w:b/>
        </w:rPr>
        <w:t>：</w:t>
      </w:r>
      <w:r>
        <w:rPr>
          <w:b/>
        </w:rPr>
        <w:t>系统对接服务</w:t>
      </w:r>
    </w:p>
    <w:tbl>
      <w:tblPr>
        <w:tblW w:w="0" w:type="auto"/>
        <w:tblBorders>
          <w:top w:val="single"/>
          <w:left w:val="single"/>
          <w:bottom w:val="single"/>
          <w:right w:val="single"/>
          <w:insideH w:val="single"/>
          <w:insideV w:val="single"/>
        </w:tblBorders>
      </w:tblPr>
      <w:tblGrid>
        <w:gridCol w:w="2076"/>
        <w:gridCol w:w="415"/>
        <w:gridCol w:w="5814"/>
      </w:tblGrid>
      <w:tr>
        <w:tc>
          <w:tcPr>
            <w:tcW w:type="dxa" w:w="2076"/>
          </w:tcPr>
          <w:p>
            <w:pPr>
              <w:pStyle w:val="null3"/>
            </w:pPr>
            <w:r>
              <w:rPr/>
              <w:t>参数性质</w:t>
            </w:r>
          </w:p>
        </w:tc>
        <w:tc>
          <w:tcPr>
            <w:tcW w:type="dxa" w:w="415"/>
          </w:tcPr>
          <w:p>
            <w:pPr>
              <w:pStyle w:val="null3"/>
            </w:pPr>
            <w:r>
              <w:rPr/>
              <w:t>序号</w:t>
            </w:r>
          </w:p>
        </w:tc>
        <w:tc>
          <w:tcPr>
            <w:tcW w:type="dxa" w:w="5814"/>
          </w:tcPr>
          <w:p>
            <w:pPr>
              <w:pStyle w:val="null3"/>
            </w:pPr>
            <w:r>
              <w:rPr/>
              <w:t>具体技术(参数)要求</w:t>
            </w:r>
          </w:p>
        </w:tc>
      </w:tr>
      <w:tr>
        <w:tc>
          <w:tcPr>
            <w:tcW w:type="dxa" w:w="2076"/>
          </w:tcPr>
          <w:p/>
        </w:tc>
        <w:tc>
          <w:tcPr>
            <w:tcW w:type="dxa" w:w="415"/>
          </w:tcPr>
          <w:p>
            <w:pPr>
              <w:pStyle w:val="null3"/>
            </w:pPr>
            <w:r>
              <w:rPr/>
              <w:t>1</w:t>
            </w:r>
          </w:p>
        </w:tc>
        <w:tc>
          <w:tcPr>
            <w:tcW w:type="dxa" w:w="5814"/>
          </w:tcPr>
          <w:p>
            <w:pPr>
              <w:pStyle w:val="null3"/>
            </w:pPr>
            <w:r>
              <w:rPr>
                <w:sz w:val="21"/>
                <w:color w:val="000000"/>
              </w:rPr>
              <w:t>1.</w:t>
            </w:r>
            <w:r>
              <w:rPr>
                <w:sz w:val="21"/>
                <w:color w:val="000000"/>
              </w:rPr>
              <w:t>利用数据中心，整合并对接人事系统、财务系统、科研系统、</w:t>
            </w:r>
            <w:r>
              <w:rPr>
                <w:sz w:val="21"/>
                <w:color w:val="000000"/>
              </w:rPr>
              <w:t>AI督导系统、安保系统等学校已有的业务系统，并完成其单点登录。接入学校融合门户，实现待办消息的统一提醒，待办事项统一窗口办理。</w:t>
            </w:r>
          </w:p>
        </w:tc>
      </w:tr>
      <w:tr>
        <w:tc>
          <w:tcPr>
            <w:tcW w:type="dxa" w:w="2076"/>
          </w:tcPr>
          <w:p>
            <w:pPr>
              <w:pStyle w:val="null3"/>
            </w:pPr>
            <w:r>
              <w:rPr/>
              <w:t>★</w:t>
            </w:r>
          </w:p>
        </w:tc>
        <w:tc>
          <w:tcPr>
            <w:tcW w:type="dxa" w:w="415"/>
          </w:tcPr>
          <w:p>
            <w:pPr>
              <w:pStyle w:val="null3"/>
            </w:pPr>
            <w:r>
              <w:rPr/>
              <w:t>2</w:t>
            </w:r>
          </w:p>
        </w:tc>
        <w:tc>
          <w:tcPr>
            <w:tcW w:type="dxa" w:w="5814"/>
          </w:tcPr>
          <w:p>
            <w:pPr>
              <w:pStyle w:val="null3"/>
            </w:pPr>
            <w:r>
              <w:rPr>
                <w:b/>
              </w:rPr>
              <w:t>2.要求本次所有新建系统免费开放系统接口。本次项目实施过程中，实现与学校智慧校园基础平台集成，包括身份认证、信息门户等对接。对于需对接的现有系统，校方负责协调智慧校园基础平台厂商与本次新建系统进行对接，并根据实际系统运行情况调整业务系统与平台对接的需求。所涉集成对接费用纳入投标报价。【要求提供盖章承诺函】</w:t>
            </w:r>
          </w:p>
        </w:tc>
      </w:tr>
      <w:tr>
        <w:tc>
          <w:tcPr>
            <w:tcW w:type="dxa" w:w="2076"/>
          </w:tcPr>
          <w:p/>
        </w:tc>
        <w:tc>
          <w:tcPr>
            <w:tcW w:type="dxa" w:w="415"/>
          </w:tcPr>
          <w:p>
            <w:pPr>
              <w:pStyle w:val="null3"/>
            </w:pPr>
            <w:r>
              <w:rPr/>
              <w:t>3</w:t>
            </w:r>
          </w:p>
        </w:tc>
        <w:tc>
          <w:tcPr>
            <w:tcW w:type="dxa" w:w="5814"/>
          </w:tcPr>
          <w:p>
            <w:pPr>
              <w:pStyle w:val="null3"/>
            </w:pPr>
            <w:r>
              <w:rPr>
                <w:sz w:val="21"/>
                <w:color w:val="000000"/>
              </w:rPr>
              <w:t>3.</w:t>
            </w:r>
            <w:r>
              <w:rPr>
                <w:sz w:val="21"/>
                <w:color w:val="000000"/>
              </w:rPr>
              <w:t>身份认证集成：主要实现系统能通过智慧校园统一身份认证平台对用户访问进行统一认证和集中授权。即本项目所涉及的系统必须与统一身份认证平台进行集成。</w:t>
            </w:r>
          </w:p>
        </w:tc>
      </w:tr>
      <w:tr>
        <w:tc>
          <w:tcPr>
            <w:tcW w:type="dxa" w:w="2076"/>
          </w:tcPr>
          <w:p/>
        </w:tc>
        <w:tc>
          <w:tcPr>
            <w:tcW w:type="dxa" w:w="415"/>
          </w:tcPr>
          <w:p>
            <w:pPr>
              <w:pStyle w:val="null3"/>
            </w:pPr>
            <w:r>
              <w:rPr/>
              <w:t>4</w:t>
            </w:r>
          </w:p>
        </w:tc>
        <w:tc>
          <w:tcPr>
            <w:tcW w:type="dxa" w:w="5814"/>
          </w:tcPr>
          <w:p>
            <w:pPr>
              <w:pStyle w:val="null3"/>
            </w:pPr>
            <w:r>
              <w:rPr>
                <w:sz w:val="21"/>
                <w:color w:val="000000"/>
              </w:rPr>
              <w:t>4.</w:t>
            </w:r>
            <w:r>
              <w:rPr>
                <w:sz w:val="21"/>
                <w:color w:val="000000"/>
              </w:rPr>
              <w:t>信息门户业务集成：系统业务功能需要集成到学校信息门户，用户可通过入口直接进入到具体业务。同时相关业务移动入口需要对接学校移动端。</w:t>
            </w:r>
          </w:p>
        </w:tc>
      </w:tr>
      <w:tr>
        <w:tc>
          <w:tcPr>
            <w:tcW w:type="dxa" w:w="2076"/>
          </w:tcPr>
          <w:p/>
        </w:tc>
        <w:tc>
          <w:tcPr>
            <w:tcW w:type="dxa" w:w="415"/>
          </w:tcPr>
          <w:p>
            <w:pPr>
              <w:pStyle w:val="null3"/>
            </w:pPr>
            <w:r>
              <w:rPr/>
              <w:t>5</w:t>
            </w:r>
          </w:p>
        </w:tc>
        <w:tc>
          <w:tcPr>
            <w:tcW w:type="dxa" w:w="5814"/>
          </w:tcPr>
          <w:p>
            <w:pPr>
              <w:pStyle w:val="null3"/>
            </w:pPr>
            <w:r>
              <w:rPr>
                <w:sz w:val="21"/>
                <w:color w:val="000000"/>
              </w:rPr>
              <w:t>5.</w:t>
            </w:r>
            <w:r>
              <w:rPr>
                <w:sz w:val="21"/>
                <w:color w:val="000000"/>
              </w:rPr>
              <w:t>数据集成：数据集成主要实现系统与学校共享数据中心的数据交换与同步，一方面系统需要从数据中心读取本系统需要的业务数据，另一方面，需要向数据中心开放本系统业务数据，以便于数据中心从系统中读取业务数据。并应完成包括但不限于以下数据集成方式：开放数据视图、系统源表只读权限、数据字典、</w:t>
            </w:r>
            <w:r>
              <w:rPr>
                <w:sz w:val="21"/>
                <w:color w:val="000000"/>
              </w:rPr>
              <w:t>API接口或者LDAP。</w:t>
            </w:r>
          </w:p>
        </w:tc>
      </w:tr>
      <w:tr>
        <w:tc>
          <w:tcPr>
            <w:tcW w:type="dxa" w:w="2076"/>
          </w:tcPr>
          <w:p>
            <w:pPr>
              <w:pStyle w:val="null3"/>
            </w:pPr>
            <w:r>
              <w:rPr/>
              <w:t>说明</w:t>
            </w:r>
          </w:p>
        </w:tc>
        <w:tc>
          <w:tcPr>
            <w:tcW w:type="dxa" w:w="6229"/>
            <w:gridSpan w:val="2"/>
          </w:tcPr>
          <w:p>
            <w:pPr>
              <w:pStyle w:val="null3"/>
              <w:jc w:val="left"/>
            </w:pPr>
            <w:r>
              <w:rPr/>
              <w:t xml:space="preserve"> 打“★”号条款为实质性条款，若有任何一条负偏离或不满足则导致投标无效。 </w:t>
            </w:r>
            <w:r>
              <w:br/>
            </w:r>
            <w:r>
              <w:rPr/>
              <w:t>打“▲”号条款为重要技术参数，若有部分“▲”条款未响应或不满足，不作为无效投标条款。</w:t>
            </w:r>
          </w:p>
        </w:tc>
      </w:tr>
    </w:tbl>
    <w:p>
      <w:pPr>
        <w:pStyle w:val="null3"/>
      </w:pPr>
      <w:r>
        <w:rPr/>
        <w:t xml:space="preserve">  </w:t>
      </w:r>
    </w:p>
    <w:p>
      <w:pPr>
        <w:pStyle w:val="null3"/>
        <w:jc w:val="center"/>
        <w:outlineLvl w:val="1"/>
      </w:pPr>
      <w:r>
        <w:rPr>
          <w:sz w:val="36"/>
          <w:b/>
        </w:rPr>
        <w:t>第三章 投标人须知</w:t>
      </w:r>
    </w:p>
    <w:p>
      <w:pPr>
        <w:pStyle w:val="null3"/>
        <w:ind w:firstLine="480"/>
      </w:pPr>
      <w:r>
        <w:rPr/>
        <w:t xml:space="preserve"> 投标人必须认真阅读招标文件中所有的事项、格式、条款和采购需求等。投标人没有按照招标文件要求提交全部资料，或者投标文件没有对招标文件在各方面都做出实质性响应的可能导致其投标无效或被拒绝。</w:t>
      </w:r>
    </w:p>
    <w:p>
      <w:pPr>
        <w:pStyle w:val="null3"/>
        <w:ind w:firstLine="480"/>
      </w:pPr>
      <w:r>
        <w:rPr/>
        <w:t>请注意：供应商需在投标文件截止时间前，将加密投标文件上传至云平台项目采购系统中并取得回执，逾期上传或错误方式投递送达将导致投标无效。</w:t>
      </w:r>
    </w:p>
    <w:p>
      <w:pPr>
        <w:pStyle w:val="null3"/>
        <w:outlineLvl w:val="3"/>
      </w:pPr>
      <w:r>
        <w:rPr>
          <w:sz w:val="24"/>
          <w:b/>
        </w:rPr>
        <w:t>一、名词解释</w:t>
      </w:r>
    </w:p>
    <w:p>
      <w:pPr>
        <w:pStyle w:val="null3"/>
        <w:ind w:firstLine="480"/>
      </w:pPr>
      <w:r>
        <w:rPr/>
        <w:t>1.采购代理机构：本项目是指广东有德招标采购有限公司，负责整个采购活动的组织，依法负责编制和发布招标文件，对招标文件拥有最终的解释权，不以任何身份出任评标委员会成员。</w:t>
      </w:r>
    </w:p>
    <w:p>
      <w:pPr>
        <w:pStyle w:val="null3"/>
        <w:ind w:firstLine="480"/>
      </w:pPr>
      <w:r>
        <w:rPr/>
        <w:t xml:space="preserve"> 2.采购人：本项目是指</w:t>
      </w:r>
      <w:r>
        <w:rPr/>
        <w:t>广东交通职业技术学院</w:t>
      </w:r>
      <w:r>
        <w:rPr/>
        <w:t>，是采购活动当事人之一，负责项目的整体规划、技术方案可行性设计论证与实施，作为合同采购方（用户）的主体承担质疑回复、履行合同、验收与评价等义务。</w:t>
      </w:r>
    </w:p>
    <w:p>
      <w:pPr>
        <w:pStyle w:val="null3"/>
        <w:ind w:firstLine="480"/>
      </w:pPr>
      <w:r>
        <w:rPr/>
        <w:t>3.投标人：是指在云平台项目采购系统完成本项目投标登记并提交电子投标文件的供应商。</w:t>
      </w:r>
    </w:p>
    <w:p>
      <w:pPr>
        <w:pStyle w:val="null3"/>
        <w:ind w:firstLine="480"/>
      </w:pPr>
      <w:r>
        <w:rPr/>
        <w:t>4.“评标委员会”是指根据《中华人民共和国政府采购法》等法律法规规定，由采购人代表和有关专家组成以确定中标供应商或者推荐中标候选人的临时组织。</w:t>
      </w:r>
    </w:p>
    <w:p>
      <w:pPr>
        <w:pStyle w:val="null3"/>
        <w:ind w:firstLine="480"/>
      </w:pPr>
      <w:r>
        <w:rPr/>
        <w:t>5.“中标供应商”是指经评标委员会评审确定的对招标文件做出实质性响应，经采购人按照规定在评标委员会推荐的中标候选人中确定的或评标委员会受采购人委托直接确认的投标人。</w:t>
      </w:r>
    </w:p>
    <w:p>
      <w:pPr>
        <w:pStyle w:val="null3"/>
        <w:ind w:firstLine="480"/>
      </w:pPr>
      <w:r>
        <w:rPr/>
        <w:t>6.招标文件：是指包括招标公告和招标文件及其补充、变更和澄清等一系列文件。</w:t>
      </w:r>
    </w:p>
    <w:p>
      <w:pPr>
        <w:pStyle w:val="null3"/>
        <w:ind w:firstLine="480"/>
      </w:pPr>
      <w:r>
        <w:rPr/>
        <w:t>7.电子投标文件：是指使用云平台提供的投标客户端制作加密并上传到系统的投标文件。（投标客户端制作投标文件时，生成的后缀为“.标书”的文件）</w:t>
      </w:r>
    </w:p>
    <w:p>
      <w:pPr>
        <w:pStyle w:val="null3"/>
        <w:ind w:firstLine="480"/>
      </w:pPr>
      <w:r>
        <w:rPr/>
        <w:t>8.备用电子投标文件：是指使用云平台提供的投标客户端制作电子投标文件时，同时生成的同一版本的备用投标文件。（投标客户端制作投标文件时，生成的后缀为“.备用标书”的文件）</w:t>
      </w:r>
    </w:p>
    <w:p>
      <w:pPr>
        <w:pStyle w:val="null3"/>
        <w:ind w:firstLine="480"/>
      </w:pPr>
      <w:r>
        <w:rPr/>
        <w:t xml:space="preserve"> 9.电子签名和电子印章：是指获得中华人民共和国工业和信息化部颁发的《电子认证服务许可证》、国家密码管理局颁发的《电子认证服务使用密码许可证》的资质，具备承担因数字证书原因产生纠纷的相关责任的能力，且在广东省内具有数量基础和服务能力的依法设立的电子认证服务机构签发的电子签名和电子签章认证证书（即CA数字证书）。供应商应当到相关服务机构办理并取得数字证书介质和应用。电子签名包括单位法定代表人、被委托人及其他个人的电子形式签名；电子印章包括机构法人电子形式印章。电子签名及电子印章与手写签名或者盖章具有同等的法律效力。签名（含电子签名）和盖章（含电子印章）是不同使用场景，应按招标文件要求在投标（响应）文件指定位置进行签名（含电子签名）和盖章（含电子印章），对允许采用手写签名的文件，应在纸质文件手写签名后，提供文件的彩色扫描电子文档进行后续操作。</w:t>
      </w:r>
    </w:p>
    <w:p>
      <w:pPr>
        <w:pStyle w:val="null3"/>
        <w:ind w:firstLine="480"/>
      </w:pPr>
      <w:r>
        <w:rPr/>
        <w:t xml:space="preserve"> 10.“全称”、“公司全称”、“加盖单位公章”及“公章”：在电子投标（响应）文件及相关的其他电子资料中，涉及“全称”或“公司全称”的应在对应文件编辑时使用文本录入方式，或在纸质投标（响应）文件上进行手写签名，或通过投标客户端使用电子印章完成；涉及“加盖单位公章”和“公章”应使用投标人单位的数字证书并通过投标客户端使用电子印章完成。</w:t>
      </w:r>
    </w:p>
    <w:p>
      <w:pPr>
        <w:pStyle w:val="null3"/>
        <w:ind w:firstLine="480"/>
      </w:pPr>
      <w:r>
        <w:rPr/>
        <w:t xml:space="preserve"> 11.“投标人代表签字”及“授权代表”：在电子投标（响应）文件及相关的其他电子资料中，涉及“投标人代表签字”或“授权代表”应在投标（响应）文件编辑时使用文本录入方式，或在纸质投标（响应）文件上进行手写签名，或通过投标客户端使用电子签名完成。</w:t>
      </w:r>
    </w:p>
    <w:p>
      <w:pPr>
        <w:pStyle w:val="null3"/>
        <w:ind w:firstLine="480"/>
      </w:pPr>
      <w:r>
        <w:rPr/>
        <w:t>12.“法定代表人”：在电子投标（响应）文件及相关的其他电子资料中，涉及“法定代表人”应在纸质投标（响应）文件上进行手写签名，或通过投标客户端使用电子签名完成。</w:t>
      </w:r>
    </w:p>
    <w:p>
      <w:pPr>
        <w:pStyle w:val="null3"/>
        <w:ind w:firstLine="480"/>
      </w:pPr>
      <w:r>
        <w:rPr/>
        <w:t>13.日期、天数、时间：未有特别说明时，均为公历日（天）及北京时间。</w:t>
      </w:r>
    </w:p>
    <w:p>
      <w:pPr>
        <w:pStyle w:val="null3"/>
        <w:outlineLvl w:val="2"/>
      </w:pPr>
      <w:r>
        <w:rPr>
          <w:sz w:val="28"/>
          <w:b/>
        </w:rPr>
        <w:t>二、须知前附表</w:t>
      </w:r>
    </w:p>
    <w:tbl>
      <w:tblPr>
        <w:tblW w:w="0" w:type="auto"/>
        <w:tblBorders>
          <w:top w:val="single"/>
          <w:left w:val="single"/>
          <w:bottom w:val="single"/>
          <w:right w:val="single"/>
          <w:insideH w:val="single"/>
          <w:insideV w:val="single"/>
        </w:tblBorders>
      </w:tblPr>
      <w:tblGrid>
        <w:gridCol w:w="1051"/>
        <w:gridCol w:w="2252"/>
        <w:gridCol w:w="5004"/>
      </w:tblGrid>
      <w:tr>
        <w:tc>
          <w:tcPr>
            <w:tcW w:type="dxa" w:w="8307"/>
            <w:gridSpan w:val="3"/>
          </w:tcPr>
          <w:p>
            <w:pPr>
              <w:pStyle w:val="null3"/>
            </w:pPr>
            <w:r>
              <w:rPr/>
              <w:t xml:space="preserve"> 本表与招标文件对应章节的内容若不一致，以本表为准。</w:t>
            </w:r>
          </w:p>
        </w:tc>
      </w:tr>
      <w:tr>
        <w:tc>
          <w:tcPr>
            <w:tcW w:type="dxa" w:w="1051"/>
          </w:tcPr>
          <w:p>
            <w:pPr>
              <w:pStyle w:val="null3"/>
            </w:pPr>
            <w:r>
              <w:rPr/>
              <w:t xml:space="preserve"> 序号</w:t>
            </w:r>
          </w:p>
        </w:tc>
        <w:tc>
          <w:tcPr>
            <w:tcW w:type="dxa" w:w="2252"/>
          </w:tcPr>
          <w:p>
            <w:pPr>
              <w:pStyle w:val="null3"/>
            </w:pPr>
            <w:r>
              <w:rPr/>
              <w:t xml:space="preserve"> 条款名称</w:t>
            </w:r>
          </w:p>
        </w:tc>
        <w:tc>
          <w:tcPr>
            <w:tcW w:type="dxa" w:w="5004"/>
          </w:tcPr>
          <w:p>
            <w:pPr>
              <w:pStyle w:val="null3"/>
            </w:pPr>
            <w:r>
              <w:rPr/>
              <w:t xml:space="preserve"> 内容及要求</w:t>
            </w:r>
          </w:p>
        </w:tc>
      </w:tr>
      <w:tr>
        <w:tc>
          <w:tcPr>
            <w:tcW w:type="dxa" w:w="1051"/>
          </w:tcPr>
          <w:p>
            <w:pPr>
              <w:pStyle w:val="null3"/>
            </w:pPr>
            <w:r>
              <w:rPr/>
              <w:t xml:space="preserve"> 1</w:t>
            </w:r>
          </w:p>
        </w:tc>
        <w:tc>
          <w:tcPr>
            <w:tcW w:type="dxa" w:w="2252"/>
          </w:tcPr>
          <w:p>
            <w:pPr>
              <w:pStyle w:val="null3"/>
            </w:pPr>
            <w:r>
              <w:rPr/>
              <w:t xml:space="preserve"> 采购包情况</w:t>
            </w:r>
          </w:p>
        </w:tc>
        <w:tc>
          <w:tcPr>
            <w:tcW w:type="dxa" w:w="5004"/>
          </w:tcPr>
          <w:p>
            <w:pPr>
              <w:pStyle w:val="null3"/>
            </w:pPr>
            <w:r>
              <w:rPr/>
              <w:t xml:space="preserve"> 本项目共</w:t>
            </w:r>
            <w:r>
              <w:rPr/>
              <w:t>1</w:t>
            </w:r>
            <w:r>
              <w:rPr/>
              <w:t>个采购包</w:t>
            </w:r>
          </w:p>
        </w:tc>
      </w:tr>
      <w:tr>
        <w:tc>
          <w:tcPr>
            <w:tcW w:type="dxa" w:w="1051"/>
          </w:tcPr>
          <w:p>
            <w:pPr>
              <w:pStyle w:val="null3"/>
            </w:pPr>
            <w:r>
              <w:rPr/>
              <w:t xml:space="preserve"> 2</w:t>
            </w:r>
          </w:p>
        </w:tc>
        <w:tc>
          <w:tcPr>
            <w:tcW w:type="dxa" w:w="2252"/>
          </w:tcPr>
          <w:p>
            <w:pPr>
              <w:pStyle w:val="null3"/>
            </w:pPr>
            <w:r>
              <w:rPr/>
              <w:t xml:space="preserve"> 开标方式</w:t>
            </w:r>
          </w:p>
        </w:tc>
        <w:tc>
          <w:tcPr>
            <w:tcW w:type="dxa" w:w="5004"/>
          </w:tcPr>
          <w:p>
            <w:pPr>
              <w:pStyle w:val="null3"/>
            </w:pPr>
            <w:r>
              <w:rPr/>
              <w:t>远程电子开标</w:t>
            </w:r>
          </w:p>
        </w:tc>
      </w:tr>
      <w:tr>
        <w:tc>
          <w:tcPr>
            <w:tcW w:type="dxa" w:w="1051"/>
          </w:tcPr>
          <w:p>
            <w:pPr>
              <w:pStyle w:val="null3"/>
            </w:pPr>
            <w:r>
              <w:rPr/>
              <w:t xml:space="preserve"> 3</w:t>
            </w:r>
          </w:p>
        </w:tc>
        <w:tc>
          <w:tcPr>
            <w:tcW w:type="dxa" w:w="2252"/>
          </w:tcPr>
          <w:p>
            <w:pPr>
              <w:pStyle w:val="null3"/>
            </w:pPr>
            <w:r>
              <w:rPr/>
              <w:t xml:space="preserve"> 评标方式</w:t>
            </w:r>
          </w:p>
        </w:tc>
        <w:tc>
          <w:tcPr>
            <w:tcW w:type="dxa" w:w="5004"/>
          </w:tcPr>
          <w:p>
            <w:pPr>
              <w:pStyle w:val="null3"/>
            </w:pPr>
            <w:r>
              <w:rPr/>
              <w:t>现场电子评标</w:t>
            </w:r>
            <w:r>
              <w:rPr/>
              <w:t xml:space="preserve"> （供应商应当审慎标记各评审项的应答部分，标记内容清晰且完整，否则将自行承担不利后果）</w:t>
            </w:r>
          </w:p>
        </w:tc>
      </w:tr>
      <w:tr>
        <w:tc>
          <w:tcPr>
            <w:tcW w:type="dxa" w:w="1051"/>
          </w:tcPr>
          <w:p>
            <w:pPr>
              <w:pStyle w:val="null3"/>
            </w:pPr>
            <w:r>
              <w:rPr/>
              <w:t xml:space="preserve"> 4</w:t>
            </w:r>
          </w:p>
        </w:tc>
        <w:tc>
          <w:tcPr>
            <w:tcW w:type="dxa" w:w="2252"/>
          </w:tcPr>
          <w:p>
            <w:pPr>
              <w:pStyle w:val="null3"/>
            </w:pPr>
            <w:r>
              <w:rPr/>
              <w:t xml:space="preserve"> 评标办法</w:t>
            </w:r>
          </w:p>
        </w:tc>
        <w:tc>
          <w:tcPr>
            <w:tcW w:type="dxa" w:w="5004"/>
          </w:tcPr>
          <w:p>
            <w:pPr>
              <w:pStyle w:val="null3"/>
            </w:pPr>
            <w:r>
              <w:rPr/>
              <w:t>采购包1：综合评分法</w:t>
            </w:r>
          </w:p>
        </w:tc>
      </w:tr>
      <w:tr>
        <w:tc>
          <w:tcPr>
            <w:tcW w:type="dxa" w:w="1051"/>
          </w:tcPr>
          <w:p>
            <w:pPr>
              <w:pStyle w:val="null3"/>
            </w:pPr>
            <w:r>
              <w:rPr/>
              <w:t>5</w:t>
            </w:r>
          </w:p>
        </w:tc>
        <w:tc>
          <w:tcPr>
            <w:tcW w:type="dxa" w:w="2252"/>
          </w:tcPr>
          <w:p>
            <w:pPr>
              <w:pStyle w:val="null3"/>
            </w:pPr>
            <w:r>
              <w:rPr/>
              <w:t>报价形式</w:t>
            </w:r>
          </w:p>
        </w:tc>
        <w:tc>
          <w:tcPr>
            <w:tcW w:type="dxa" w:w="5004"/>
          </w:tcPr>
          <w:p>
            <w:pPr>
              <w:pStyle w:val="null3"/>
            </w:pPr>
            <w:r>
              <w:rPr/>
              <w:t>采购包1：总价</w:t>
            </w:r>
          </w:p>
        </w:tc>
      </w:tr>
      <w:tr>
        <w:tc>
          <w:tcPr>
            <w:tcW w:type="dxa" w:w="1051"/>
          </w:tcPr>
          <w:p>
            <w:pPr>
              <w:pStyle w:val="null3"/>
            </w:pPr>
            <w:r>
              <w:rPr/>
              <w:t>6</w:t>
            </w:r>
          </w:p>
        </w:tc>
        <w:tc>
          <w:tcPr>
            <w:tcW w:type="dxa" w:w="2252"/>
          </w:tcPr>
          <w:p>
            <w:pPr>
              <w:pStyle w:val="null3"/>
            </w:pPr>
            <w:r>
              <w:rPr/>
              <w:t>报价要求</w:t>
            </w:r>
          </w:p>
        </w:tc>
        <w:tc>
          <w:tcPr>
            <w:tcW w:type="dxa" w:w="5004"/>
          </w:tcPr>
          <w:p>
            <w:pPr>
              <w:pStyle w:val="null3"/>
            </w:pPr>
            <w:r>
              <w:rPr/>
              <w:t>各采购包报价不超过预算总价</w:t>
            </w:r>
          </w:p>
        </w:tc>
      </w:tr>
      <w:tr>
        <w:tc>
          <w:tcPr>
            <w:tcW w:type="dxa" w:w="1051"/>
          </w:tcPr>
          <w:p>
            <w:pPr>
              <w:pStyle w:val="null3"/>
            </w:pPr>
            <w:r>
              <w:rPr/>
              <w:t xml:space="preserve"> 7</w:t>
            </w:r>
          </w:p>
        </w:tc>
        <w:tc>
          <w:tcPr>
            <w:tcW w:type="dxa" w:w="2252"/>
          </w:tcPr>
          <w:p>
            <w:pPr>
              <w:pStyle w:val="null3"/>
            </w:pPr>
            <w:r>
              <w:rPr/>
              <w:t xml:space="preserve"> 现场踏勘</w:t>
            </w:r>
          </w:p>
        </w:tc>
        <w:tc>
          <w:tcPr>
            <w:tcW w:type="dxa" w:w="5004"/>
          </w:tcPr>
          <w:p>
            <w:pPr>
              <w:pStyle w:val="null3"/>
            </w:pPr>
            <w:r>
              <w:rPr/>
              <w:t>否</w:t>
            </w:r>
          </w:p>
        </w:tc>
      </w:tr>
      <w:tr>
        <w:tc>
          <w:tcPr>
            <w:tcW w:type="dxa" w:w="1051"/>
          </w:tcPr>
          <w:p>
            <w:pPr>
              <w:pStyle w:val="null3"/>
            </w:pPr>
            <w:r>
              <w:rPr/>
              <w:t xml:space="preserve"> 8</w:t>
            </w:r>
          </w:p>
        </w:tc>
        <w:tc>
          <w:tcPr>
            <w:tcW w:type="dxa" w:w="2252"/>
          </w:tcPr>
          <w:p>
            <w:pPr>
              <w:pStyle w:val="null3"/>
            </w:pPr>
            <w:r>
              <w:rPr/>
              <w:t xml:space="preserve"> 投标有效期</w:t>
            </w:r>
          </w:p>
        </w:tc>
        <w:tc>
          <w:tcPr>
            <w:tcW w:type="dxa" w:w="5004"/>
          </w:tcPr>
          <w:p>
            <w:pPr>
              <w:pStyle w:val="null3"/>
            </w:pPr>
            <w:r>
              <w:rPr/>
              <w:t>从提交投标（响应）文件的截止之日起90日历天</w:t>
            </w:r>
          </w:p>
        </w:tc>
      </w:tr>
      <w:tr>
        <w:tc>
          <w:tcPr>
            <w:tcW w:type="dxa" w:w="1051"/>
          </w:tcPr>
          <w:p>
            <w:pPr>
              <w:pStyle w:val="null3"/>
            </w:pPr>
            <w:r>
              <w:rPr/>
              <w:t xml:space="preserve"> 9</w:t>
            </w:r>
          </w:p>
        </w:tc>
        <w:tc>
          <w:tcPr>
            <w:tcW w:type="dxa" w:w="2252"/>
          </w:tcPr>
          <w:p>
            <w:pPr>
              <w:pStyle w:val="null3"/>
            </w:pPr>
            <w:r>
              <w:rPr/>
              <w:t xml:space="preserve"> 投标保证金</w:t>
            </w:r>
          </w:p>
        </w:tc>
        <w:tc>
          <w:tcPr>
            <w:tcW w:type="dxa" w:w="5004"/>
          </w:tcPr>
          <w:p>
            <w:pPr>
              <w:pStyle w:val="null3"/>
              <w:ind w:firstLine="480"/>
            </w:pPr>
            <w:r>
              <w:rPr/>
              <w:t>不收取投标（响应）保证金</w:t>
            </w:r>
          </w:p>
          <w:p>
            <w:pPr>
              <w:pStyle w:val="null3"/>
              <w:ind w:firstLine="480"/>
            </w:pPr>
            <w:r>
              <w:rPr/>
              <w:t>投标保证金有效期∶与投标有效期一致。</w:t>
            </w:r>
          </w:p>
          <w:p>
            <w:pPr>
              <w:pStyle w:val="null3"/>
              <w:ind w:firstLine="480"/>
            </w:pPr>
            <w:r>
              <w:rPr/>
              <w:t xml:space="preserve"> 投标保函提交方式：供应商可通过"广东政府采购智慧云平台金融服务中心"(http://gdgpo.czt.gd.gov.cn/zcdservice/zcd/guangdong/)，申请办理投标（响应）担保函、保险（保证）凭证，成功出函的等效于现金缴纳投标保证金。</w:t>
            </w:r>
          </w:p>
        </w:tc>
      </w:tr>
      <w:tr>
        <w:tc>
          <w:tcPr>
            <w:tcW w:type="dxa" w:w="1051"/>
          </w:tcPr>
          <w:p>
            <w:pPr>
              <w:pStyle w:val="null3"/>
            </w:pPr>
            <w:r>
              <w:rPr/>
              <w:t>10</w:t>
            </w:r>
          </w:p>
        </w:tc>
        <w:tc>
          <w:tcPr>
            <w:tcW w:type="dxa" w:w="2252"/>
          </w:tcPr>
          <w:p>
            <w:pPr>
              <w:pStyle w:val="null3"/>
            </w:pPr>
            <w:r>
              <w:rPr/>
              <w:t xml:space="preserve"> 投标文件要求</w:t>
            </w:r>
          </w:p>
        </w:tc>
        <w:tc>
          <w:tcPr>
            <w:tcW w:type="dxa" w:w="5004"/>
          </w:tcPr>
          <w:p>
            <w:pPr>
              <w:pStyle w:val="null3"/>
              <w:ind w:firstLine="480"/>
            </w:pPr>
            <w:r>
              <w:rPr>
                <w:b/>
              </w:rPr>
              <w:t>一、电子投标文件（必须提供）：</w:t>
            </w:r>
          </w:p>
          <w:p>
            <w:pPr>
              <w:pStyle w:val="null3"/>
              <w:ind w:firstLine="480"/>
            </w:pPr>
            <w:r>
              <w:rPr/>
              <w:t>（1）加密的电子投标文件 1 份（需在递交投标文件截止时间前成功上传至云平台项目采购系统）。</w:t>
            </w:r>
          </w:p>
          <w:p>
            <w:pPr>
              <w:pStyle w:val="null3"/>
              <w:ind w:firstLine="480"/>
            </w:pPr>
            <w:r>
              <w:rPr/>
              <w:t>（2）非加密电子版文件 U 盘(或光盘)</w:t>
            </w:r>
            <w:r>
              <w:rPr/>
              <w:t>0</w:t>
            </w:r>
            <w:r>
              <w:rPr/>
              <w:t>份，加密的电子投标文件与非加密的电子投标文件必须完全一致。</w:t>
            </w:r>
          </w:p>
          <w:p>
            <w:pPr>
              <w:pStyle w:val="null3"/>
              <w:ind w:firstLine="480"/>
            </w:pPr>
            <w:r>
              <w:rPr>
                <w:b/>
              </w:rPr>
              <w:t>非加密电子版投标文件使用情形:</w:t>
            </w:r>
            <w:r>
              <w:rPr/>
              <w:t xml:space="preserve"> 当无法使用 CA 证书在云平台项目采购系统进行电子投标文件开标解密时，供应商须在代理机构指引下启用非加密电子版投标文件。</w:t>
            </w:r>
          </w:p>
          <w:p>
            <w:pPr>
              <w:pStyle w:val="null3"/>
              <w:ind w:firstLine="480"/>
            </w:pPr>
            <w:r>
              <w:rPr>
                <w:b/>
              </w:rPr>
              <w:t>二、纸质投标文件（代理机构自行选择）：</w:t>
            </w:r>
            <w:r>
              <w:rPr/>
              <w:t>（3）纸质投标文件正本0份，纸质投标文件副本0份。纸质投标文件应与电子投标文件一致（递交的纸质文件需密封完好，注明“正本”和“副本”字样，正本和副本分别封装。如果正本与副本不符，应以正本为准。）。</w:t>
            </w:r>
            <w:r>
              <w:rPr>
                <w:b/>
              </w:rPr>
              <w:t>纸质投标文件使用情形：</w:t>
            </w:r>
            <w:r>
              <w:rPr/>
              <w:t>当项目采购系统出现故障，无法使用电子投标文件评标时，代理机构可根据云平台发布的通知指引，根据实际情况使用纸质投标文件评标。</w:t>
            </w:r>
            <w:r>
              <w:br/>
            </w:r>
            <w:r>
              <w:rPr/>
              <w:t>在电子投标文件能正常使用的情况下，不得因供应商未提交纸质投标文件而认定供应商投标无效。</w:t>
            </w:r>
          </w:p>
        </w:tc>
      </w:tr>
      <w:tr>
        <w:tc>
          <w:tcPr>
            <w:tcW w:type="dxa" w:w="1051"/>
          </w:tcPr>
          <w:p>
            <w:pPr>
              <w:pStyle w:val="null3"/>
            </w:pPr>
            <w:r>
              <w:rPr/>
              <w:t xml:space="preserve"> 11</w:t>
            </w:r>
          </w:p>
        </w:tc>
        <w:tc>
          <w:tcPr>
            <w:tcW w:type="dxa" w:w="2252"/>
          </w:tcPr>
          <w:p>
            <w:pPr>
              <w:pStyle w:val="null3"/>
            </w:pPr>
            <w:r>
              <w:rPr/>
              <w:t xml:space="preserve"> 中标候选供应商推荐家数</w:t>
            </w:r>
          </w:p>
        </w:tc>
        <w:tc>
          <w:tcPr>
            <w:tcW w:type="dxa" w:w="5004"/>
          </w:tcPr>
          <w:p>
            <w:pPr>
              <w:pStyle w:val="null3"/>
            </w:pPr>
            <w:r>
              <w:rPr/>
              <w:t>采购包1：</w:t>
            </w:r>
            <w:r>
              <w:rPr/>
              <w:t>3家</w:t>
            </w:r>
          </w:p>
        </w:tc>
      </w:tr>
      <w:tr>
        <w:tc>
          <w:tcPr>
            <w:tcW w:type="dxa" w:w="1051"/>
          </w:tcPr>
          <w:p>
            <w:pPr>
              <w:pStyle w:val="null3"/>
            </w:pPr>
            <w:r>
              <w:rPr/>
              <w:t>12</w:t>
            </w:r>
          </w:p>
        </w:tc>
        <w:tc>
          <w:tcPr>
            <w:tcW w:type="dxa" w:w="2252"/>
          </w:tcPr>
          <w:p>
            <w:pPr>
              <w:pStyle w:val="null3"/>
              <w:ind w:firstLine="480"/>
            </w:pPr>
            <w:r>
              <w:rPr/>
              <w:t>中标供应商数量</w:t>
            </w:r>
          </w:p>
        </w:tc>
        <w:tc>
          <w:tcPr>
            <w:tcW w:type="dxa" w:w="5004"/>
          </w:tcPr>
          <w:p>
            <w:pPr>
              <w:pStyle w:val="null3"/>
            </w:pPr>
            <w:r>
              <w:rPr/>
              <w:t>采购包1：</w:t>
            </w:r>
            <w:r>
              <w:rPr/>
              <w:t>1家</w:t>
            </w:r>
          </w:p>
        </w:tc>
      </w:tr>
      <w:tr>
        <w:tc>
          <w:tcPr>
            <w:tcW w:type="dxa" w:w="1051"/>
          </w:tcPr>
          <w:p>
            <w:pPr>
              <w:pStyle w:val="null3"/>
            </w:pPr>
            <w:r>
              <w:rPr/>
              <w:t>13</w:t>
            </w:r>
          </w:p>
        </w:tc>
        <w:tc>
          <w:tcPr>
            <w:tcW w:type="dxa" w:w="2252"/>
          </w:tcPr>
          <w:p>
            <w:pPr>
              <w:pStyle w:val="null3"/>
              <w:ind w:firstLine="480"/>
            </w:pPr>
            <w:r>
              <w:rPr/>
              <w:t>有效供应商家数</w:t>
            </w:r>
          </w:p>
        </w:tc>
        <w:tc>
          <w:tcPr>
            <w:tcW w:type="dxa" w:w="5004"/>
          </w:tcPr>
          <w:p>
            <w:pPr>
              <w:pStyle w:val="null3"/>
              <w:jc w:val="left"/>
            </w:pPr>
            <w:r>
              <w:rPr/>
              <w:t>采购包1：3家</w:t>
            </w:r>
          </w:p>
          <w:p>
            <w:pPr>
              <w:pStyle w:val="null3"/>
              <w:ind w:firstLine="480"/>
            </w:pPr>
            <w:r>
              <w:rPr/>
              <w:t>此人数约定了开标与评标过程中的最低有效供应商家数，当家数不足时项目将不得开标、不得评标或直接废标。</w:t>
            </w:r>
          </w:p>
        </w:tc>
      </w:tr>
      <w:tr>
        <w:tc>
          <w:tcPr>
            <w:tcW w:type="dxa" w:w="1051"/>
          </w:tcPr>
          <w:p>
            <w:pPr>
              <w:pStyle w:val="null3"/>
            </w:pPr>
            <w:r>
              <w:rPr/>
              <w:t>14</w:t>
            </w:r>
          </w:p>
        </w:tc>
        <w:tc>
          <w:tcPr>
            <w:tcW w:type="dxa" w:w="2252"/>
          </w:tcPr>
          <w:p>
            <w:pPr>
              <w:pStyle w:val="null3"/>
            </w:pPr>
            <w:r>
              <w:rPr/>
              <w:t xml:space="preserve"> 项目兼投兼中（兼投不兼中）规则</w:t>
            </w:r>
          </w:p>
        </w:tc>
        <w:tc>
          <w:tcPr>
            <w:tcW w:type="dxa" w:w="5004"/>
          </w:tcPr>
          <w:p>
            <w:pPr>
              <w:pStyle w:val="null3"/>
            </w:pPr>
            <w:r>
              <w:rPr/>
              <w:t>无：-</w:t>
            </w:r>
          </w:p>
        </w:tc>
      </w:tr>
      <w:tr>
        <w:tc>
          <w:tcPr>
            <w:tcW w:type="dxa" w:w="1051"/>
          </w:tcPr>
          <w:p>
            <w:pPr>
              <w:pStyle w:val="null3"/>
            </w:pPr>
            <w:r>
              <w:rPr/>
              <w:t>15</w:t>
            </w:r>
          </w:p>
        </w:tc>
        <w:tc>
          <w:tcPr>
            <w:tcW w:type="dxa" w:w="2252"/>
          </w:tcPr>
          <w:p>
            <w:pPr>
              <w:pStyle w:val="null3"/>
            </w:pPr>
            <w:r>
              <w:rPr/>
              <w:t xml:space="preserve"> 中标供应商确定方式</w:t>
            </w:r>
          </w:p>
        </w:tc>
        <w:tc>
          <w:tcPr>
            <w:tcW w:type="dxa" w:w="5004"/>
          </w:tcPr>
          <w:p>
            <w:pPr>
              <w:pStyle w:val="null3"/>
            </w:pPr>
            <w:r>
              <w:rPr/>
              <w:t>采购人按照评审报告中推荐的成交候选人确定中标（成交）人。</w:t>
            </w:r>
          </w:p>
        </w:tc>
      </w:tr>
      <w:tr>
        <w:tc>
          <w:tcPr>
            <w:tcW w:type="dxa" w:w="1051"/>
          </w:tcPr>
          <w:p>
            <w:pPr>
              <w:pStyle w:val="null3"/>
            </w:pPr>
            <w:r>
              <w:rPr/>
              <w:t>16</w:t>
            </w:r>
          </w:p>
        </w:tc>
        <w:tc>
          <w:tcPr>
            <w:tcW w:type="dxa" w:w="2252"/>
          </w:tcPr>
          <w:p>
            <w:pPr>
              <w:pStyle w:val="null3"/>
            </w:pPr>
            <w:r>
              <w:rPr/>
              <w:t xml:space="preserve"> 代理服务费</w:t>
            </w:r>
          </w:p>
        </w:tc>
        <w:tc>
          <w:tcPr>
            <w:tcW w:type="dxa" w:w="5004"/>
          </w:tcPr>
          <w:p>
            <w:pPr>
              <w:pStyle w:val="null3"/>
            </w:pPr>
            <w:r>
              <w:rPr/>
              <w:t>收取。</w:t>
            </w:r>
          </w:p>
          <w:p>
            <w:pPr>
              <w:pStyle w:val="null3"/>
            </w:pPr>
            <w:r>
              <w:rPr/>
              <w:t>采购机构代理服务收费标准：采购代理服务费以本项目中标金额作为计算基数，参照《广东省物价局粤价函〔2013〕1233号》规定的标准下浮20%收取。</w:t>
            </w:r>
          </w:p>
        </w:tc>
      </w:tr>
      <w:tr>
        <w:tc>
          <w:tcPr>
            <w:tcW w:type="dxa" w:w="1051"/>
          </w:tcPr>
          <w:p>
            <w:pPr>
              <w:pStyle w:val="null3"/>
            </w:pPr>
            <w:r>
              <w:rPr/>
              <w:t>17</w:t>
            </w:r>
          </w:p>
        </w:tc>
        <w:tc>
          <w:tcPr>
            <w:tcW w:type="dxa" w:w="2252"/>
          </w:tcPr>
          <w:p>
            <w:pPr>
              <w:pStyle w:val="null3"/>
            </w:pPr>
            <w:r>
              <w:rPr/>
              <w:t xml:space="preserve"> 代理服务费收取方式</w:t>
            </w:r>
          </w:p>
        </w:tc>
        <w:tc>
          <w:tcPr>
            <w:tcW w:type="dxa" w:w="5004"/>
          </w:tcPr>
          <w:p>
            <w:pPr>
              <w:pStyle w:val="null3"/>
            </w:pPr>
            <w:r>
              <w:rPr/>
              <w:t>向中标/成交供应商收取</w:t>
            </w:r>
          </w:p>
        </w:tc>
      </w:tr>
      <w:tr>
        <w:tc>
          <w:tcPr>
            <w:tcW w:type="dxa" w:w="1051"/>
          </w:tcPr>
          <w:p>
            <w:pPr>
              <w:pStyle w:val="null3"/>
            </w:pPr>
            <w:r>
              <w:rPr/>
              <w:t>18</w:t>
            </w:r>
          </w:p>
        </w:tc>
        <w:tc>
          <w:tcPr>
            <w:tcW w:type="dxa" w:w="2252"/>
          </w:tcPr>
          <w:p>
            <w:pPr>
              <w:pStyle w:val="null3"/>
            </w:pPr>
            <w:r>
              <w:rPr/>
              <w:t xml:space="preserve"> 其他</w:t>
            </w:r>
          </w:p>
        </w:tc>
        <w:tc>
          <w:tcPr>
            <w:tcW w:type="dxa" w:w="5004"/>
          </w:tcPr>
          <w:p/>
        </w:tc>
      </w:tr>
      <w:tr>
        <w:tc>
          <w:tcPr>
            <w:tcW w:type="dxa" w:w="1051"/>
          </w:tcPr>
          <w:p>
            <w:pPr>
              <w:pStyle w:val="null3"/>
            </w:pPr>
            <w:r>
              <w:rPr/>
              <w:t>19</w:t>
            </w:r>
          </w:p>
        </w:tc>
        <w:tc>
          <w:tcPr>
            <w:tcW w:type="dxa" w:w="2252"/>
          </w:tcPr>
          <w:p>
            <w:pPr>
              <w:pStyle w:val="null3"/>
            </w:pPr>
            <w:r>
              <w:rPr/>
              <w:t xml:space="preserve"> 开标解密时长</w:t>
            </w:r>
          </w:p>
        </w:tc>
        <w:tc>
          <w:tcPr>
            <w:tcW w:type="dxa" w:w="5004"/>
          </w:tcPr>
          <w:p>
            <w:pPr>
              <w:pStyle w:val="null3"/>
            </w:pPr>
            <w:r>
              <w:rPr/>
              <w:t>30分钟</w:t>
            </w:r>
          </w:p>
          <w:p>
            <w:pPr>
              <w:pStyle w:val="null3"/>
            </w:pPr>
            <w:r>
              <w:rPr/>
              <w:t>说明：具体情况根据开标时现场代理机构人员设置为准</w:t>
            </w:r>
          </w:p>
        </w:tc>
      </w:tr>
      <w:tr>
        <w:tc>
          <w:tcPr>
            <w:tcW w:type="dxa" w:w="1051"/>
          </w:tcPr>
          <w:p>
            <w:pPr>
              <w:pStyle w:val="null3"/>
            </w:pPr>
            <w:r>
              <w:rPr/>
              <w:t>20</w:t>
            </w:r>
          </w:p>
        </w:tc>
        <w:tc>
          <w:tcPr>
            <w:tcW w:type="dxa" w:w="2252"/>
          </w:tcPr>
          <w:p>
            <w:pPr>
              <w:pStyle w:val="null3"/>
            </w:pPr>
            <w:r>
              <w:rPr/>
              <w:t xml:space="preserve"> 专门面向中小企业采购</w:t>
            </w:r>
          </w:p>
        </w:tc>
        <w:tc>
          <w:tcPr>
            <w:tcW w:type="dxa" w:w="5004"/>
          </w:tcPr>
          <w:p>
            <w:pPr>
              <w:pStyle w:val="null3"/>
              <w:jc w:val="left"/>
            </w:pPr>
            <w:r>
              <w:rPr/>
              <w:t>采购包1：非专门面向中小企业</w:t>
            </w:r>
          </w:p>
        </w:tc>
      </w:tr>
    </w:tbl>
    <w:p>
      <w:pPr>
        <w:pStyle w:val="null3"/>
        <w:outlineLvl w:val="2"/>
      </w:pPr>
      <w:r>
        <w:rPr>
          <w:sz w:val="28"/>
          <w:b/>
        </w:rPr>
        <w:t>三、说明</w:t>
      </w:r>
    </w:p>
    <w:p>
      <w:pPr>
        <w:pStyle w:val="null3"/>
        <w:outlineLvl w:val="3"/>
      </w:pPr>
      <w:r>
        <w:rPr>
          <w:sz w:val="24"/>
          <w:b/>
        </w:rPr>
        <w:t>1.总则</w:t>
      </w:r>
    </w:p>
    <w:p>
      <w:pPr>
        <w:pStyle w:val="null3"/>
        <w:ind w:firstLine="480"/>
      </w:pPr>
      <w:r>
        <w:rPr/>
        <w:t>采购人、采购代理机构及投标人进行的本次采购活动适用《中华人民共和国政府采购法》及其配套的法规、规章、政策。</w:t>
      </w:r>
    </w:p>
    <w:p>
      <w:pPr>
        <w:pStyle w:val="null3"/>
        <w:ind w:firstLine="480"/>
      </w:pPr>
      <w:r>
        <w:rPr/>
        <w:t xml:space="preserve"> 投标人应仔细阅读本项目招标公告及招标文件的所有内容（包括变更、补充、澄清以及修改等，且均为招标文件的组成部分），按照招标文件要求以及格式编制投标文件，并保证其真实性，否则一切后果自负。</w:t>
      </w:r>
    </w:p>
    <w:p>
      <w:pPr>
        <w:pStyle w:val="null3"/>
        <w:ind w:firstLine="480"/>
      </w:pPr>
      <w:r>
        <w:rPr/>
        <w:t>本次公开招标项目，是以招标公告的方式邀请非特定的投标人参加投标。</w:t>
      </w:r>
    </w:p>
    <w:p>
      <w:pPr>
        <w:pStyle w:val="null3"/>
        <w:outlineLvl w:val="3"/>
      </w:pPr>
      <w:r>
        <w:rPr>
          <w:sz w:val="24"/>
          <w:b/>
        </w:rPr>
        <w:t>2.适用范围</w:t>
      </w:r>
    </w:p>
    <w:p>
      <w:pPr>
        <w:pStyle w:val="null3"/>
        <w:ind w:firstLine="480"/>
      </w:pPr>
      <w:r>
        <w:rPr/>
        <w:t>本招标文件仅适用于本次招标公告中所涉及的项目和内容。</w:t>
      </w:r>
    </w:p>
    <w:p>
      <w:pPr>
        <w:pStyle w:val="null3"/>
        <w:outlineLvl w:val="3"/>
      </w:pPr>
      <w:r>
        <w:rPr>
          <w:sz w:val="24"/>
          <w:b/>
        </w:rPr>
        <w:t>3.进口产品</w:t>
      </w:r>
    </w:p>
    <w:p>
      <w:pPr>
        <w:pStyle w:val="null3"/>
        <w:ind w:firstLine="480"/>
      </w:pPr>
      <w:r>
        <w:rPr/>
        <w:t xml:space="preserve"> 若本项目允许采购进口产品，供应商应保证所投产品可履行合法报通关手续进入中国关境内。</w:t>
      </w:r>
    </w:p>
    <w:p>
      <w:pPr>
        <w:pStyle w:val="null3"/>
        <w:ind w:firstLine="480"/>
      </w:pPr>
      <w:r>
        <w:rPr/>
        <w:t>若本项目不允许采购进口产品，如供应商所投产品为进口产品，其响应将被认定为响应无效。</w:t>
      </w:r>
    </w:p>
    <w:p>
      <w:pPr>
        <w:pStyle w:val="null3"/>
        <w:outlineLvl w:val="3"/>
      </w:pPr>
      <w:r>
        <w:rPr>
          <w:sz w:val="24"/>
          <w:b/>
        </w:rPr>
        <w:t>4.投标的费用</w:t>
      </w:r>
    </w:p>
    <w:p>
      <w:pPr>
        <w:pStyle w:val="null3"/>
        <w:ind w:firstLine="480"/>
      </w:pPr>
      <w:r>
        <w:rPr/>
        <w:t>不论投标结果如何，投标人应承担所有与准备和参加投标有关的费用。采购代理机构和采购人均无义务和责任承担相关费用。</w:t>
      </w:r>
    </w:p>
    <w:p>
      <w:pPr>
        <w:pStyle w:val="null3"/>
        <w:outlineLvl w:val="3"/>
      </w:pPr>
      <w:r>
        <w:rPr>
          <w:sz w:val="24"/>
          <w:b/>
        </w:rPr>
        <w:t>5.以联合体形式投标的，应符合以下规定：</w:t>
      </w:r>
    </w:p>
    <w:p>
      <w:pPr>
        <w:pStyle w:val="null3"/>
        <w:ind w:firstLine="480"/>
      </w:pPr>
      <w:r>
        <w:rPr/>
        <w:t>5.1联合体各方均应当满足《中华人民共和国政府采购法》第二十二条规定的条件，并在投标文件中提供联合体各方的相关证明材料。</w:t>
      </w:r>
    </w:p>
    <w:p>
      <w:pPr>
        <w:pStyle w:val="null3"/>
        <w:ind w:firstLine="480"/>
      </w:pPr>
      <w:r>
        <w:rPr/>
        <w:t>5.2 联合体各方之间应签订共同投标协议书并在投标文件中提交，明确约定联合体各方承担的工作和相应的责任。联合体各方签订共同投标协议书后，不得再以自己名义单独在同一项目（采购包）中投标，也不得组成新的联合体参加同一项目（采购包）投标，若违反规定则其参与的所有投标将视为无效投标。</w:t>
      </w:r>
    </w:p>
    <w:p>
      <w:pPr>
        <w:pStyle w:val="null3"/>
        <w:ind w:firstLine="480"/>
      </w:pPr>
      <w:r>
        <w:rPr/>
        <w:t>5.3 联合体应以联合协议中确定的牵头方名义登录云平台项目采购系统进行项目投标，录入联合体所有成员单位的全称并使用成员单位的电子印章进行联投确认，联合体名称需与共同投标协议书签署方一致。对于需交投标保证金的，以牵头方名义缴纳。</w:t>
      </w:r>
    </w:p>
    <w:p>
      <w:pPr>
        <w:pStyle w:val="null3"/>
        <w:ind w:firstLine="480"/>
      </w:pPr>
      <w:r>
        <w:rPr/>
        <w:t>5.4联合体成员存在不良信用记录的，视同联合体存在不良信用记录。</w:t>
      </w:r>
    </w:p>
    <w:p>
      <w:pPr>
        <w:pStyle w:val="null3"/>
        <w:ind w:firstLine="480"/>
      </w:pPr>
      <w:r>
        <w:rPr/>
        <w:t>5.5联合体各方均应满足《中华人民共和国政府采购法》第二十二条规定的条件。根据《中华人民共和国政府采购法实施条例》第二十二条，联合体中有同类资质的供应商按照联合体分工承担相同工作的，应当按照资质等级较低的供应商确定资质等级。</w:t>
      </w:r>
    </w:p>
    <w:p>
      <w:pPr>
        <w:pStyle w:val="null3"/>
        <w:ind w:firstLine="480"/>
      </w:pPr>
      <w:r>
        <w:rPr/>
        <w:t>5.6联合体各方应当共同与采购人签订采购合同，就合同约定的事项对采购人承担连带责任。</w:t>
      </w:r>
    </w:p>
    <w:p>
      <w:pPr>
        <w:pStyle w:val="null3"/>
        <w:outlineLvl w:val="3"/>
      </w:pPr>
      <w:r>
        <w:rPr>
          <w:sz w:val="24"/>
          <w:b/>
        </w:rPr>
        <w:t>6.关联企业投标说明</w:t>
      </w:r>
    </w:p>
    <w:p>
      <w:pPr>
        <w:pStyle w:val="null3"/>
        <w:ind w:firstLine="480"/>
      </w:pPr>
      <w:r>
        <w:rPr/>
        <w:t>6.1 对于不接受联合体投标的采购项目（采购包）：法定代表人或单位负责人为同一个人或者存在直接控股、管理关系的不同供应商，不得同时参加同一项目或同一采购包的投标。如同时参加，则其投标将被拒绝。</w:t>
      </w:r>
    </w:p>
    <w:p>
      <w:pPr>
        <w:pStyle w:val="null3"/>
        <w:ind w:firstLine="480"/>
      </w:pPr>
      <w:r>
        <w:rPr/>
        <w:t>6.2 对于接受联合体投标的采购项目（采购包）：除联合体外，法定代表人或单位负责人为同一个人或者存在直接控股、管理关系的不同供应商，不得同时参加同一项目或同一采购包的投标。如同时参加，则评审时将同时被拒绝。</w:t>
      </w:r>
    </w:p>
    <w:p>
      <w:pPr>
        <w:pStyle w:val="null3"/>
        <w:outlineLvl w:val="3"/>
      </w:pPr>
      <w:r>
        <w:rPr>
          <w:sz w:val="24"/>
          <w:b/>
        </w:rPr>
        <w:t>7.关于中小微企业投标</w:t>
      </w:r>
    </w:p>
    <w:p>
      <w:pPr>
        <w:pStyle w:val="null3"/>
        <w:ind w:firstLine="480"/>
      </w:pPr>
      <w:r>
        <w:rPr/>
        <w:t xml:space="preserve"> 中小微企业响应是指在政府采购活动中，供应商提供的货物均由中小微企业制造、工程均由中小微企业承建或者服务均由中小微企业承接，并在响应文件中提供《中小企业声明函》。本条款所称中小微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 中小企业划分见《关于印发中小企业划型标准规定的通知》（工信部联企业〔2011〕300号) 。</w:t>
      </w:r>
    </w:p>
    <w:p>
      <w:pPr>
        <w:pStyle w:val="null3"/>
        <w:ind w:firstLine="480"/>
      </w:pPr>
      <w:r>
        <w:rPr/>
        <w:t>根据财库〔2014〕68号《财政部 司法部关于政府采购支持监狱企业发展有关问题的通知》，监狱企业视同小微企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投标时，提供由省级以上监狱管理局、戒毒管理局(含新疆生产建设兵团)出具的属于监狱企业的证明文件，不再提供《中小企业声明函》。</w:t>
      </w:r>
    </w:p>
    <w:p>
      <w:pPr>
        <w:pStyle w:val="null3"/>
        <w:ind w:firstLine="480"/>
      </w:pPr>
      <w:r>
        <w:rPr/>
        <w:t>根据财库〔2017〕141号《财政部 民政部 中国残疾人联合会关于促进残疾人就业政府采购政策的通知》，在政府采购活动中，残疾人福利性单位视同小型、微型企业，享受政府采购支持政策的残疾人福利性单位应当同时满足《财政部 民政部 中国残疾人联合会关于促进残疾人就业政府采购政策的通知》所列条件。残疾人福利性单位属于小型、微型企业的，不重复享受政策。符合条件的残疾人福利性单位在参加政府采购活动时，应当提供《残疾人福利性单位声明函》，并对声明的真实性负责。</w:t>
      </w:r>
    </w:p>
    <w:p>
      <w:pPr>
        <w:pStyle w:val="null3"/>
        <w:outlineLvl w:val="3"/>
      </w:pPr>
      <w:r>
        <w:rPr>
          <w:sz w:val="24"/>
          <w:b/>
        </w:rPr>
        <w:t>8.纪律与保密事项</w:t>
      </w:r>
    </w:p>
    <w:p>
      <w:pPr>
        <w:pStyle w:val="null3"/>
        <w:ind w:firstLine="480"/>
      </w:pPr>
      <w:r>
        <w:rPr/>
        <w:t>8.1投标人不得相互串通投标报价，不得妨碍其他投标人的公平竞争，不得损害采购人或其他投标人的合法权益，投标人不得以向采购人、评标委员会成员行贿或者采取其他不正当手段谋取中标。</w:t>
      </w:r>
    </w:p>
    <w:p>
      <w:pPr>
        <w:pStyle w:val="null3"/>
        <w:ind w:firstLine="480"/>
      </w:pPr>
      <w:r>
        <w:rPr/>
        <w:t>8.2在确定中标供应商之前，投标人不得与采购人就投标价格、投标方案等实质性内容进行谈判，也不得私下接触评标委员会成员。</w:t>
      </w:r>
    </w:p>
    <w:p>
      <w:pPr>
        <w:pStyle w:val="null3"/>
        <w:ind w:firstLine="480"/>
      </w:pPr>
      <w:r>
        <w:rPr/>
        <w:t>8.3在确定中标供应商之前，投标人试图在投标文件审查、澄清、比较和评价时对评标委员会、采购人和采购代理机构施加任何影响都可能导致其投标无效。</w:t>
      </w:r>
    </w:p>
    <w:p>
      <w:pPr>
        <w:pStyle w:val="null3"/>
        <w:ind w:firstLine="480"/>
      </w:pPr>
      <w:r>
        <w:rPr/>
        <w:t>8.4获得本招标文件者，须履行本项目下保密义务，不得将因本次项目获得的信息向第三人外传，不得将招标文件用作本次投标以外的任何用途。</w:t>
      </w:r>
    </w:p>
    <w:p>
      <w:pPr>
        <w:pStyle w:val="null3"/>
        <w:ind w:firstLine="480"/>
      </w:pPr>
      <w:r>
        <w:rPr/>
        <w:t xml:space="preserve"> 8.5由采购人向投标人提供的图纸、详细资料、样品、模型、模件和所有其它资料，均为保密资料，仅被用于它所规定的用途。除非得到采购人的同意，不能向任何第三方透露。开标结束后，应采购人要求，投标人应归还所有从采购人处获得的保密资料。</w:t>
      </w:r>
    </w:p>
    <w:p>
      <w:pPr>
        <w:pStyle w:val="null3"/>
        <w:ind w:firstLine="480"/>
      </w:pPr>
      <w:r>
        <w:rPr/>
        <w:t>8.6采购人或采购代理机构有权将供应商提供的所有资料向有关政府部门或评审小组披露。</w:t>
      </w:r>
    </w:p>
    <w:p>
      <w:pPr>
        <w:pStyle w:val="null3"/>
        <w:ind w:firstLine="480"/>
      </w:pPr>
      <w:r>
        <w:rPr/>
        <w:t xml:space="preserve"> 8.7在采购人或采购代理机构认为适当时、国家机关调查、审查、审计时以及其他符合法律规定的情形下，采购人或采购代理机构无须事先征求供应商同意而可以披露关于采购过程、合同文本、签署情况的资料、供应商的名称及地址、响应文件的有关信息以及补充条款等，但应当在合理的必要范围内。对任何已经公布过的内容或与之内容相同的资料，以及供应商已经泄露或公开的，无须再承担保密责任。</w:t>
      </w:r>
    </w:p>
    <w:p>
      <w:pPr>
        <w:pStyle w:val="null3"/>
        <w:outlineLvl w:val="3"/>
      </w:pPr>
      <w:r>
        <w:rPr>
          <w:sz w:val="24"/>
          <w:b/>
        </w:rPr>
        <w:t>9.语言文字以及度量衡单位</w:t>
      </w:r>
    </w:p>
    <w:p>
      <w:pPr>
        <w:pStyle w:val="null3"/>
        <w:ind w:firstLine="480"/>
      </w:pPr>
      <w:r>
        <w:rPr/>
        <w:t xml:space="preserve"> 9.1除招标文件另有规定外，投标文件应使用中文文本，若有不同文本，以中文文本为准。投标文件提供的全部资料中，若原件属于非中文描述，应提供具有翻译资质的机构翻译的中文译本。前述翻译机构应为中国翻译协会成员单位，翻译的中文译本应由翻译人员签名并加盖翻译机构公章，同时提供翻译人员翻译资格证书。中文译本、翻译机构的成员单位证书及翻译人员的资格证书可为复印件。</w:t>
      </w:r>
    </w:p>
    <w:p>
      <w:pPr>
        <w:pStyle w:val="null3"/>
        <w:ind w:firstLine="480"/>
      </w:pPr>
      <w:r>
        <w:rPr/>
        <w:t>9.2除非招标文件的技术规格中另有规定，投标人在投标文件中及其与采购人和采购代理机构的所有往来文件中的计量单位均应采用中华人民共和国法定计量单位。</w:t>
      </w:r>
    </w:p>
    <w:p>
      <w:pPr>
        <w:pStyle w:val="null3"/>
        <w:ind w:firstLine="480"/>
      </w:pPr>
      <w:r>
        <w:rPr/>
        <w:t>9.3投标人所提供的货物和服务均应以人民币报价，货币单位：元。</w:t>
      </w:r>
    </w:p>
    <w:p>
      <w:pPr>
        <w:pStyle w:val="null3"/>
        <w:outlineLvl w:val="3"/>
      </w:pPr>
      <w:r>
        <w:rPr>
          <w:sz w:val="24"/>
          <w:b/>
        </w:rPr>
        <w:t>10. 现场踏勘（如有）</w:t>
      </w:r>
    </w:p>
    <w:p>
      <w:pPr>
        <w:pStyle w:val="null3"/>
        <w:ind w:firstLine="480"/>
      </w:pPr>
      <w:r>
        <w:rPr/>
        <w:t>10.1招标文件规定组织踏勘现场的，采购人按招标文件规定的时间、地点组织投标人踏勘项目现场。</w:t>
      </w:r>
    </w:p>
    <w:p>
      <w:pPr>
        <w:pStyle w:val="null3"/>
        <w:ind w:firstLine="480"/>
      </w:pPr>
      <w:r>
        <w:rPr/>
        <w:t>10.2投标人自行承担踏勘现场发生的责任、风险和自身费用。</w:t>
      </w:r>
    </w:p>
    <w:p>
      <w:pPr>
        <w:pStyle w:val="null3"/>
        <w:ind w:firstLine="480"/>
      </w:pPr>
      <w:r>
        <w:rPr/>
        <w:t>10.3采购人在踏勘现场中介绍的资料和数据等，只是为了使投标人能够利用招标人现有的资料。招标人对投标人由此而作出的推论、解释和结论概不负责。</w:t>
      </w:r>
    </w:p>
    <w:p>
      <w:pPr>
        <w:pStyle w:val="null3"/>
        <w:outlineLvl w:val="2"/>
      </w:pPr>
      <w:r>
        <w:rPr>
          <w:sz w:val="28"/>
          <w:b/>
        </w:rPr>
        <w:t>四、招标文件的澄清和修改</w:t>
      </w:r>
    </w:p>
    <w:p>
      <w:pPr>
        <w:pStyle w:val="null3"/>
        <w:ind w:firstLine="480"/>
      </w:pPr>
      <w:r>
        <w:rPr/>
        <w:t xml:space="preserve"> 1.采购代理机构对招标文件进行必要的澄清或者修改的，在指定媒体上发布更正公告。澄清或者修改的内容可能影响投标文件编制的，更正公告在投标截止时间至少15日前发出；不足15日的，代理机构顺延提交投标文件截止时间。</w:t>
      </w:r>
    </w:p>
    <w:p>
      <w:pPr>
        <w:pStyle w:val="null3"/>
        <w:ind w:firstLine="480"/>
      </w:pPr>
      <w:r>
        <w:rPr/>
        <w:t xml:space="preserve"> 2.更正公告及其所发布的内容或信息（包括但不限于：招标文件的澄清或修改、现场考察或答疑会的有关事宜等）作为招标文件的组成部分，对投标人具有约束力。一经在指定媒体上发布后，更正公告将作为通知所有招标文件收受人的书面形式。</w:t>
      </w:r>
    </w:p>
    <w:p>
      <w:pPr>
        <w:pStyle w:val="null3"/>
        <w:ind w:firstLine="480"/>
      </w:pPr>
      <w:r>
        <w:rPr/>
        <w:t>3.如更正公告有重新发布电子招标文件的，供应商应登录云平台项目采购系统下载最新发布的电子招标文件制作投标文件。</w:t>
      </w:r>
    </w:p>
    <w:p>
      <w:pPr>
        <w:pStyle w:val="null3"/>
        <w:ind w:firstLine="480"/>
      </w:pPr>
      <w:r>
        <w:rPr/>
        <w:t xml:space="preserve"> 4.投标人在规定的时间内未对招标文件提出疑问、质疑或要求澄清的，将视其为无异议。对招标文件中描述有歧义或前后不一致的地方，评标委员会有权进行评判，但对同一条款的评判应适用于每个投标人。</w:t>
      </w:r>
    </w:p>
    <w:p>
      <w:pPr>
        <w:pStyle w:val="null3"/>
        <w:outlineLvl w:val="2"/>
      </w:pPr>
      <w:r>
        <w:rPr>
          <w:sz w:val="28"/>
          <w:b/>
        </w:rPr>
        <w:t>五、投标要求</w:t>
      </w:r>
    </w:p>
    <w:p>
      <w:pPr>
        <w:pStyle w:val="null3"/>
        <w:outlineLvl w:val="3"/>
      </w:pPr>
      <w:r>
        <w:rPr>
          <w:sz w:val="24"/>
          <w:b/>
        </w:rPr>
        <w:t>1.投标登记</w:t>
      </w:r>
    </w:p>
    <w:p>
      <w:pPr>
        <w:pStyle w:val="null3"/>
        <w:ind w:firstLine="480"/>
      </w:pPr>
      <w:r>
        <w:rPr/>
        <w:t xml:space="preserve"> 投标人应从广东省政府采购网（https://gdgpo.czt.gd.gov.cn/）上广东政府采购智慧云平台（以下简称“云平台”）的政府采购供应商入口进行免费注册后，登录进入项目采购系统完成项目投标登记并在线获取招标文件（未按上述方式获取招标文件的供应商，其投标资格将被视为无效）。</w:t>
      </w:r>
    </w:p>
    <w:p>
      <w:pPr>
        <w:pStyle w:val="null3"/>
        <w:outlineLvl w:val="3"/>
      </w:pPr>
      <w:r>
        <w:rPr>
          <w:sz w:val="24"/>
          <w:b/>
        </w:rPr>
        <w:t>2.投标文件的制作</w:t>
      </w:r>
    </w:p>
    <w:p>
      <w:pPr>
        <w:pStyle w:val="null3"/>
        <w:ind w:firstLine="480"/>
      </w:pPr>
      <w:r>
        <w:rPr/>
        <w:t>2.1投标文件中，所有内容均以电子文件编制，其格式要求详见第六章说明。如因不按要求编制导致系统无法检索、读取相关信息时，其后果由投标人承担。由于本项目采用电子化投标，请充分考虑设备、网络环境、人员对系统熟悉度等因素，合理安排投标文件制作、提交时间，建议至少提前一天完成制作、提交工作。</w:t>
      </w:r>
    </w:p>
    <w:p>
      <w:pPr>
        <w:pStyle w:val="null3"/>
        <w:ind w:firstLine="480"/>
      </w:pPr>
      <w:r>
        <w:rPr/>
        <w:t xml:space="preserve"> 2.2投标人应使用云平台提供的投标客户端编制、标记、加密投标文件，成功加密后将生成指定格式的电子投标文件和电子备用投标文件。所有投标文件不能进行压缩处理。关于电子投标报价（如有报价）说明如下：</w:t>
      </w:r>
    </w:p>
    <w:p>
      <w:pPr>
        <w:pStyle w:val="null3"/>
        <w:ind w:firstLine="480"/>
      </w:pPr>
      <w:r>
        <w:rPr/>
        <w:t xml:space="preserve"> (1)投标人应按照“第二章采购需求”的需求内容、责任范围以及合同条款进行报价。并按“开标一览表”和“分项报价表”规定的格式报出总价和分项价格。投标总价中不得包含招标文件要求以外的内容，否则，在评审时不予核减。</w:t>
      </w:r>
    </w:p>
    <w:p>
      <w:pPr>
        <w:pStyle w:val="null3"/>
        <w:ind w:firstLine="480"/>
      </w:pPr>
      <w:r>
        <w:rPr/>
        <w:t>(2)投标报价包括本项目采购需求和投入使用的所有费用，包括但不限于主件、标准附件、备品备件、施工、服务、专用工具、安装、调试、检验、培训、运输、保险、税款等。</w:t>
      </w:r>
    </w:p>
    <w:p>
      <w:pPr>
        <w:pStyle w:val="null3"/>
        <w:ind w:firstLine="480"/>
      </w:pPr>
      <w:r>
        <w:rPr/>
        <w:t>2.3 如有对多个采购包投标的，要对每个采购包独立制作电子投标文件。</w:t>
      </w:r>
    </w:p>
    <w:p>
      <w:pPr>
        <w:pStyle w:val="null3"/>
        <w:ind w:firstLine="480"/>
      </w:pPr>
      <w:r>
        <w:rPr/>
        <w:t>2.4投标人不得将同一个项目或同一个采购包的内容拆开投标，否则其报价将被视为非实质性响应。</w:t>
      </w:r>
    </w:p>
    <w:p>
      <w:pPr>
        <w:pStyle w:val="null3"/>
        <w:ind w:firstLine="480"/>
      </w:pPr>
      <w:r>
        <w:rPr/>
        <w:t>2.5投标人须对招标文件的对应要求给予唯一的实质性响应，否则将视为不响应。</w:t>
      </w:r>
    </w:p>
    <w:p>
      <w:pPr>
        <w:pStyle w:val="null3"/>
        <w:ind w:firstLine="480"/>
      </w:pPr>
      <w:r>
        <w:rPr/>
        <w:t>2.6招标文件中，凡标有“★”的地方均为实质性响应条款，投标人若有一项带“★”的条款未响应或不满足，将按无效投标处理。</w:t>
      </w:r>
    </w:p>
    <w:p>
      <w:pPr>
        <w:pStyle w:val="null3"/>
        <w:ind w:firstLine="480"/>
      </w:pPr>
      <w:r>
        <w:rPr/>
        <w:t xml:space="preserve"> 2.7投标人必须按招标文件指定的格式填写各种报价，各报价应计算正确。除在招标文件另有规定外（如：报折扣、报优惠率等），计量单位应使用中华人民共和国法定计量单位，以人民币填报所有报价。</w:t>
      </w:r>
    </w:p>
    <w:p>
      <w:pPr>
        <w:pStyle w:val="null3"/>
        <w:ind w:firstLine="480"/>
      </w:pPr>
      <w:r>
        <w:rPr/>
        <w:t xml:space="preserve"> 2.8投标文件以及投标人与采购人、代理机构就有关投标的往来函电均应使用中文。投标人提交的支持性文件和印制的文件可以用另一种语言，但相应内容应翻译成中文，在解释投标文件时以中文文本为准。</w:t>
      </w:r>
    </w:p>
    <w:p>
      <w:pPr>
        <w:pStyle w:val="null3"/>
        <w:ind w:firstLine="480"/>
      </w:pPr>
      <w:r>
        <w:rPr/>
        <w:t xml:space="preserve"> 2.9投标人应按招标文件的规定及附件要求的内容和格式完整地填写和提供资料。投标人必须对投标文件所提供的全部资料的真实性承担法律责任，并无条件接受采购人和政府采购监督管理部门对其中任何资料进行核实（核对原件）的要求。采购人核对发现有不一致或供应商无正当理由不按时提供原件的，应当书面知会代理机构，并书面报告本级人民政府财政部门。</w:t>
      </w:r>
    </w:p>
    <w:p>
      <w:pPr>
        <w:pStyle w:val="null3"/>
        <w:outlineLvl w:val="3"/>
      </w:pPr>
      <w:r>
        <w:rPr>
          <w:sz w:val="24"/>
          <w:b/>
        </w:rPr>
        <w:t>3.投标文件的提交</w:t>
      </w:r>
    </w:p>
    <w:p>
      <w:pPr>
        <w:pStyle w:val="null3"/>
        <w:ind w:firstLine="480"/>
      </w:pPr>
      <w:r>
        <w:rPr/>
        <w:t xml:space="preserve"> 3.1在投标文件提交截止时间前，投标人须将电子投标文件成功完整上传到云平台项目采购系统，且取得投标回执。时间以云平台项目采购系统服务器从中国科学院国家授时中心取得的北京时间为准，投标截止时间结束后，系统将不允许投标人上传投标文件，已上传投标文件但未完成传输的文件系统将拒绝接收。</w:t>
      </w:r>
    </w:p>
    <w:p>
      <w:pPr>
        <w:pStyle w:val="null3"/>
        <w:ind w:firstLine="480"/>
      </w:pPr>
      <w:r>
        <w:rPr/>
        <w:t>3.2代理机构对因不可抗力事件造成的投标文件的损坏、丢失的，不承担责任。</w:t>
      </w:r>
    </w:p>
    <w:p>
      <w:pPr>
        <w:pStyle w:val="null3"/>
        <w:ind w:firstLine="480"/>
      </w:pPr>
      <w:r>
        <w:rPr/>
        <w:t>3.3出现下述情形之一，属于未成功提交投标文件，按无效投标处理：</w:t>
      </w:r>
    </w:p>
    <w:p>
      <w:pPr>
        <w:pStyle w:val="null3"/>
        <w:ind w:firstLine="480"/>
      </w:pPr>
      <w:r>
        <w:rPr/>
        <w:t>（1）至提交投标文件截止时，投标文件未完整上传的。</w:t>
      </w:r>
    </w:p>
    <w:p>
      <w:pPr>
        <w:pStyle w:val="null3"/>
        <w:ind w:firstLine="480"/>
      </w:pPr>
      <w:r>
        <w:rPr/>
        <w:t>（2）投标文件未按投标格式中注明需签字盖章的要求进行签名（含电子签名）和加盖电子印章，或签名（含电子签名）或电子印章不完整的。</w:t>
      </w:r>
    </w:p>
    <w:p>
      <w:pPr>
        <w:pStyle w:val="null3"/>
        <w:ind w:firstLine="480"/>
      </w:pPr>
      <w:r>
        <w:rPr/>
        <w:t>（3）投标文件损坏或格式不正确的。</w:t>
      </w:r>
    </w:p>
    <w:p>
      <w:pPr>
        <w:pStyle w:val="null3"/>
        <w:outlineLvl w:val="3"/>
      </w:pPr>
      <w:r>
        <w:rPr>
          <w:sz w:val="24"/>
          <w:b/>
        </w:rPr>
        <w:t>4.投标文件的修改、撤回与撤销</w:t>
      </w:r>
    </w:p>
    <w:p>
      <w:pPr>
        <w:pStyle w:val="null3"/>
        <w:ind w:firstLine="480"/>
      </w:pPr>
      <w:r>
        <w:rPr/>
        <w:t xml:space="preserve"> 4.1在提交投标文件截止时间前，投标人可以修改或撤回未解密的电子投标文件，并于提交投标文件截止时间前将修改后重新生成的电子投标文件上传至系统，到达投标文件提交截止时间后，将不允许修改或撤回。</w:t>
      </w:r>
    </w:p>
    <w:p>
      <w:pPr>
        <w:pStyle w:val="null3"/>
        <w:ind w:firstLine="480"/>
      </w:pPr>
      <w:r>
        <w:rPr/>
        <w:t>4.2在提交投标文件截止时间后，投标人不得补充、修改和更换投标文件。</w:t>
      </w:r>
    </w:p>
    <w:p>
      <w:pPr>
        <w:pStyle w:val="null3"/>
        <w:outlineLvl w:val="3"/>
      </w:pPr>
      <w:r>
        <w:rPr>
          <w:sz w:val="24"/>
          <w:b/>
        </w:rPr>
        <w:t>5.投标文件的解密</w:t>
      </w:r>
    </w:p>
    <w:p>
      <w:pPr>
        <w:pStyle w:val="null3"/>
        <w:ind w:firstLine="480"/>
      </w:pPr>
      <w:r>
        <w:rPr/>
        <w:t xml:space="preserve"> 到达开标时间后，投标人需携带并使用制作该投标文件的同一数字证书参加开标解密，投标人须在采购代理机构规定的时间内完成投标文件解密，投标人未携带数字证书或其他非系统原因导致的逾期未解密投标文件，将作无效投标处理。</w:t>
      </w:r>
    </w:p>
    <w:p>
      <w:pPr>
        <w:pStyle w:val="null3"/>
        <w:outlineLvl w:val="3"/>
      </w:pPr>
      <w:r>
        <w:rPr>
          <w:sz w:val="24"/>
          <w:b/>
        </w:rPr>
        <w:t>6.投标保证金</w:t>
      </w:r>
    </w:p>
    <w:p>
      <w:pPr>
        <w:pStyle w:val="null3"/>
        <w:ind w:firstLine="480"/>
      </w:pPr>
      <w:r>
        <w:rPr/>
        <w:t xml:space="preserve"> 6.1投标保证金的缴纳</w:t>
      </w:r>
    </w:p>
    <w:p>
      <w:pPr>
        <w:pStyle w:val="null3"/>
        <w:ind w:firstLine="480"/>
      </w:pPr>
      <w:r>
        <w:rPr/>
        <w:t>投标人在提交投标文件时，应按投标人须知前附表规定的金额和缴纳要求缴纳投标保证金，并作为其投标文件的组成部分。</w:t>
      </w:r>
    </w:p>
    <w:p>
      <w:pPr>
        <w:pStyle w:val="null3"/>
        <w:ind w:firstLine="480"/>
      </w:pPr>
      <w:r>
        <w:rPr/>
        <w:t xml:space="preserve"> 如采用转账、支票、本票、汇票形式提交的，投标保证金从投标人基本账户递交，由</w:t>
      </w:r>
      <w:r>
        <w:rPr/>
        <w:t>广东有德招标采购有限公司</w:t>
      </w:r>
      <w:r>
        <w:rPr/>
        <w:t>代收。具体操作要求详见</w:t>
      </w:r>
      <w:r>
        <w:rPr/>
        <w:t>广东有德招标采购有限公司</w:t>
      </w:r>
      <w:r>
        <w:rPr/>
        <w:t>有关指引，递交事宜请自行咨询</w:t>
      </w:r>
      <w:r>
        <w:rPr/>
        <w:t>广东有德招标采购有限公司</w:t>
      </w:r>
      <w:r>
        <w:rPr/>
        <w:t>；请各投标人在投标文件递交截止时间前按须知前附表规定的金额递交至</w:t>
      </w:r>
      <w:r>
        <w:rPr/>
        <w:t>广东有德招标采购有限公司</w:t>
      </w:r>
      <w:r>
        <w:rPr/>
        <w:t>，到账情况以开标时</w:t>
      </w:r>
      <w:r>
        <w:rPr/>
        <w:t>广东有德招标采购有限公司</w:t>
      </w:r>
      <w:r>
        <w:rPr/>
        <w:t>查询的信息为准。</w:t>
      </w:r>
    </w:p>
    <w:p>
      <w:pPr>
        <w:pStyle w:val="null3"/>
        <w:ind w:firstLine="480"/>
      </w:pPr>
      <w:r>
        <w:rPr/>
        <w:t>如采用金融机构、专业担保机构开具的投标担保函、投标保证保险函等形式提交投标保证金的，投标担保函或投标保证保险函须开具给采购人（保险受益人须为采购人），并与投标文件一同递交。</w:t>
      </w:r>
    </w:p>
    <w:p>
      <w:pPr>
        <w:pStyle w:val="null3"/>
        <w:ind w:firstLine="480"/>
      </w:pPr>
      <w:r>
        <w:rPr/>
        <w:t xml:space="preserve"> 投标人可通过"广东政府采购智慧云平台金融服务中心"(https://gdgpo.czt.gd.gov.cn/zcdservice/zcd/guangdong/)，申请办理电子保函，电子保函与纸质保函具有同样效力。</w:t>
      </w:r>
    </w:p>
    <w:p>
      <w:pPr>
        <w:pStyle w:val="null3"/>
        <w:ind w:firstLine="480"/>
      </w:pPr>
      <w:r>
        <w:rPr/>
        <w:t xml:space="preserve"> 注意事项：供应商通过线下方式缴纳保证金（转账、支票、汇票、本票、纸质保函）的，需准备缴纳凭证的扫描件作为核验凭证；通过电子保函形式缴纳保证金的，如遇开标或评标现场无法拉取电子保函信息时，可提供电子保函打印件或购买凭证作为核验凭证。相关凭证应上传至系统归档保存。</w:t>
      </w:r>
    </w:p>
    <w:p>
      <w:pPr>
        <w:pStyle w:val="null3"/>
        <w:ind w:firstLine="480"/>
      </w:pPr>
      <w:r>
        <w:rPr/>
        <w:t xml:space="preserve"> 6.2投标保证金的退还：</w:t>
      </w:r>
    </w:p>
    <w:p>
      <w:pPr>
        <w:pStyle w:val="null3"/>
        <w:ind w:firstLine="480"/>
      </w:pPr>
      <w:r>
        <w:rPr/>
        <w:t>（1）投标人在投标截止时间前放弃投标的，自所投采购包结果公告发出后5个工作日内退还。</w:t>
      </w:r>
    </w:p>
    <w:p>
      <w:pPr>
        <w:pStyle w:val="null3"/>
        <w:ind w:firstLine="480"/>
      </w:pPr>
      <w:r>
        <w:rPr/>
        <w:t>（2）未中标的投标人投标保证金，自中标通知书发出之日起5个工作日内退还。</w:t>
      </w:r>
    </w:p>
    <w:p>
      <w:pPr>
        <w:pStyle w:val="null3"/>
        <w:ind w:firstLine="480"/>
      </w:pPr>
      <w:r>
        <w:rPr/>
        <w:t>（3）中标供应商的投标保证金，自政府采购合同签订之日起5个工作日内退还。</w:t>
      </w:r>
    </w:p>
    <w:p>
      <w:pPr>
        <w:pStyle w:val="null3"/>
        <w:ind w:firstLine="480"/>
      </w:pPr>
      <w:r>
        <w:rPr/>
        <w:t>备注：但因投标人自身原因导致无法及时退还的除外。</w:t>
      </w:r>
    </w:p>
    <w:p>
      <w:pPr>
        <w:pStyle w:val="null3"/>
        <w:ind w:firstLine="480"/>
      </w:pPr>
      <w:r>
        <w:rPr/>
        <w:t xml:space="preserve"> 6.3有下列情形之一的，投标保证金将不予退还：</w:t>
      </w:r>
    </w:p>
    <w:p>
      <w:pPr>
        <w:pStyle w:val="null3"/>
        <w:ind w:firstLine="480"/>
      </w:pPr>
      <w:r>
        <w:rPr/>
        <w:t>（1）提供虚假材料谋取中标、成交的；</w:t>
      </w:r>
    </w:p>
    <w:p>
      <w:pPr>
        <w:pStyle w:val="null3"/>
        <w:ind w:firstLine="480"/>
      </w:pPr>
      <w:r>
        <w:rPr/>
        <w:t>（2）投标人在招标文件规定的投标有效期内撤销其投标；</w:t>
      </w:r>
    </w:p>
    <w:p>
      <w:pPr>
        <w:pStyle w:val="null3"/>
        <w:ind w:firstLine="480"/>
      </w:pPr>
      <w:r>
        <w:rPr/>
        <w:t>（3）中标后，无正当理由放弃中标资格；</w:t>
      </w:r>
    </w:p>
    <w:p>
      <w:pPr>
        <w:pStyle w:val="null3"/>
        <w:ind w:firstLine="480"/>
      </w:pPr>
      <w:r>
        <w:rPr/>
        <w:t>（4）中标后，无正当理由不与采购人签订合同；</w:t>
      </w:r>
    </w:p>
    <w:p>
      <w:pPr>
        <w:pStyle w:val="null3"/>
        <w:ind w:firstLine="480"/>
      </w:pPr>
      <w:r>
        <w:rPr/>
        <w:t>（5）法律法规和招标文件规定的其他情形。</w:t>
      </w:r>
    </w:p>
    <w:p>
      <w:pPr>
        <w:pStyle w:val="null3"/>
        <w:outlineLvl w:val="3"/>
      </w:pPr>
      <w:r>
        <w:rPr>
          <w:sz w:val="24"/>
          <w:b/>
        </w:rPr>
        <w:t>7.投标有效期</w:t>
      </w:r>
    </w:p>
    <w:p>
      <w:pPr>
        <w:pStyle w:val="null3"/>
        <w:ind w:firstLine="480"/>
      </w:pPr>
      <w:r>
        <w:rPr/>
        <w:t>7.1投标有效期内投标人撤销投标文件的，采购人或者采购代理机构可以不退还投标保证金（如有）。采用投标保函方式替代保证金的，采购人或者采购代理机构可以向担保机构索赔保证金。</w:t>
      </w:r>
    </w:p>
    <w:p>
      <w:pPr>
        <w:pStyle w:val="null3"/>
        <w:ind w:firstLine="480"/>
      </w:pPr>
      <w:r>
        <w:rPr/>
        <w:t xml:space="preserve"> 7.2出现特殊情况需延长投标有效期的，采购人或采购代理机构可于投标有效期满之前要求投标人同意延长有效期，要求与答复均以书面形式通知所有投标人。投标人同意延长的，应相应延长其投标保证金（如有）的有效期，但不得要求或被允许修改或撤销其投标文件；投标人可以拒绝延长有效期，但其投标将会被视为无效，拒绝延长有效期的投标人有权收回其投标保证金（如有）。采用投标保函方式替代保证金的，投标有效期超出保函有效期的，采购人或者采购代理机构应提示投标人重新开函，未获得有效保函的投标人其投标将会被视为无效。</w:t>
      </w:r>
    </w:p>
    <w:p>
      <w:pPr>
        <w:pStyle w:val="null3"/>
        <w:outlineLvl w:val="3"/>
      </w:pPr>
      <w:r>
        <w:rPr>
          <w:sz w:val="24"/>
          <w:b/>
        </w:rPr>
        <w:t>8.样品（演示）</w:t>
      </w:r>
    </w:p>
    <w:p>
      <w:pPr>
        <w:pStyle w:val="null3"/>
        <w:ind w:firstLine="480"/>
      </w:pPr>
      <w:r>
        <w:rPr/>
        <w:t>8.1招标文件规定投标人提交样品的，样品属于投标文件的组成部分。样品的生产、运输、安装、保全等一切费用由投标人自理。</w:t>
      </w:r>
    </w:p>
    <w:p>
      <w:pPr>
        <w:pStyle w:val="null3"/>
        <w:ind w:firstLine="480"/>
      </w:pPr>
      <w:r>
        <w:rPr/>
        <w:t>8.2投标截止时间前，投标人应将样品送达至指定地点。若需要现场演示的，投标人应提前做好演示准备（包括演示设备）。</w:t>
      </w:r>
    </w:p>
    <w:p>
      <w:pPr>
        <w:pStyle w:val="null3"/>
        <w:ind w:firstLine="480"/>
      </w:pPr>
      <w:r>
        <w:rPr/>
        <w:t xml:space="preserve"> 8.3采购结果公告发布后，中标供应商的样品由采购人封存，作为履约验收的依据之一。未中标供应商在接到采购代理机构通知后，应按规定时间尽快自行取回样品，否则视同供应商不再认领，代理机构有权进行处理。</w:t>
      </w:r>
    </w:p>
    <w:p>
      <w:pPr>
        <w:pStyle w:val="null3"/>
        <w:outlineLvl w:val="3"/>
      </w:pPr>
      <w:r>
        <w:rPr>
          <w:sz w:val="24"/>
          <w:b/>
        </w:rPr>
        <w:t>9.除招标文件另有规定外，有下列情形之一的，投标无效：</w:t>
      </w:r>
    </w:p>
    <w:p>
      <w:pPr>
        <w:pStyle w:val="null3"/>
        <w:ind w:firstLine="480"/>
      </w:pPr>
      <w:r>
        <w:rPr/>
        <w:t>9.1投标文件未按照招标文件要求签署、盖章；</w:t>
      </w:r>
    </w:p>
    <w:p>
      <w:pPr>
        <w:pStyle w:val="null3"/>
        <w:ind w:firstLine="480"/>
      </w:pPr>
      <w:r>
        <w:rPr/>
        <w:t>9.2不符合招标文件中规定的资格要求；</w:t>
      </w:r>
    </w:p>
    <w:p>
      <w:pPr>
        <w:pStyle w:val="null3"/>
        <w:ind w:firstLine="480"/>
      </w:pPr>
      <w:r>
        <w:rPr/>
        <w:t>9.3投标报价超过招标文件中规定的预算金额或最高限价；</w:t>
      </w:r>
    </w:p>
    <w:p>
      <w:pPr>
        <w:pStyle w:val="null3"/>
        <w:ind w:firstLine="480"/>
      </w:pPr>
      <w:r>
        <w:rPr/>
        <w:t>9.4投标文件含有采购人不能接受的附加条件；</w:t>
      </w:r>
    </w:p>
    <w:p>
      <w:pPr>
        <w:pStyle w:val="null3"/>
        <w:ind w:firstLine="480"/>
      </w:pPr>
      <w:r>
        <w:rPr/>
        <w:t>9.5有关法律、法规和规章及招标文件规定的其他无效情形。</w:t>
      </w:r>
    </w:p>
    <w:p>
      <w:pPr>
        <w:pStyle w:val="null3"/>
        <w:outlineLvl w:val="2"/>
      </w:pPr>
      <w:r>
        <w:rPr>
          <w:sz w:val="28"/>
          <w:b/>
        </w:rPr>
        <w:t>六、开标、评标和定标</w:t>
      </w:r>
    </w:p>
    <w:p>
      <w:pPr>
        <w:pStyle w:val="null3"/>
        <w:outlineLvl w:val="3"/>
      </w:pPr>
      <w:r>
        <w:rPr>
          <w:sz w:val="24"/>
          <w:b/>
        </w:rPr>
        <w:t>1.开标</w:t>
      </w:r>
    </w:p>
    <w:p>
      <w:pPr>
        <w:pStyle w:val="null3"/>
        <w:ind w:firstLine="480"/>
      </w:pPr>
      <w:r>
        <w:rPr/>
        <w:t>1.1 开标程序</w:t>
      </w:r>
    </w:p>
    <w:p>
      <w:pPr>
        <w:pStyle w:val="null3"/>
        <w:ind w:firstLine="480"/>
      </w:pPr>
      <w:r>
        <w:rPr/>
        <w:t xml:space="preserve"> 招标工作人员按招标公告规定的时间进行开标，由采购人或者采购代理机构工作人员宣布投标人名称、解密情况，投标价格和招标文件规定的需要宣布的其他内容（以开标一览表要求为准）。开标分为现场电子开标和远程电子开标两种。</w:t>
      </w:r>
    </w:p>
    <w:p>
      <w:pPr>
        <w:pStyle w:val="null3"/>
        <w:ind w:firstLine="480"/>
      </w:pPr>
      <w:r>
        <w:rPr/>
        <w:t xml:space="preserve"> 采用现场电子开标的：投标人的法定代表人或其委托代理人应当按照本招标公告载明的时间和地点前往参加开标，并携带编制本项目（采购包）电子投标文件时加密所用的数字证书、存储有备用电子投标文件的U盘前往开标现场。</w:t>
      </w:r>
    </w:p>
    <w:p>
      <w:pPr>
        <w:pStyle w:val="null3"/>
        <w:ind w:firstLine="480"/>
      </w:pPr>
      <w:r>
        <w:rPr/>
        <w:t xml:space="preserve"> 采用远程电子开标的：投标人的法定代表人或其授权代表应当按照本招标公告载明的时间和模式等要求参加开标。在投标截止时间前30分钟，应当登录云平台开标大厅进行签到，并且填写授权代表的姓名与手机号码。若因签到时填写的授权代表信息有误而导致的不良后果，由供应商自行承担。</w:t>
      </w:r>
    </w:p>
    <w:p>
      <w:pPr>
        <w:pStyle w:val="null3"/>
        <w:ind w:firstLine="480"/>
      </w:pPr>
      <w:r>
        <w:rPr/>
        <w:t xml:space="preserve"> 开标时，投标人应当使用编制本项目（采购包）电子投标文件时加密所用数字证书在开始解密后按照代理机构规定的时间内完成电子投标文件的解密，如遇不可抗力等其他特殊情况，采购代理机构可视情况延长解密时间。投标人未携带数字证书或其他非系统原因导致的在规定时间内未解密投标文件，将作无效投标处理。（采用远程电子开标的，各投标人在参加开标以前须自行对使用电脑的网络环境、驱动安装、客户端安装以及数字证书的有效性等进行检测，确保可以正常使用）。</w:t>
      </w:r>
    </w:p>
    <w:p>
      <w:pPr>
        <w:pStyle w:val="null3"/>
        <w:ind w:firstLine="480"/>
      </w:pPr>
      <w:r>
        <w:rPr/>
        <w:t xml:space="preserve"> 如在电子开标过程中出现无法正常解密的，代理机构可根据实际情况开启上传备用电子投标文件通道。系统将对上传的备用电子投标文件的合法性进行验证，若发现提交的备用电子投标文件与加密的电子投标文件版本不一致（即两份文件不是通过投标客户端同时加密生成的），系统将拒绝接收，视为无效投标。如供应商无法在代理规定的时间内完成备用电子投标文件的上传，投标将被拒绝，作无效投标处理。</w:t>
      </w:r>
    </w:p>
    <w:p>
      <w:pPr>
        <w:pStyle w:val="null3"/>
        <w:ind w:firstLine="480"/>
      </w:pPr>
      <w:r>
        <w:rPr/>
        <w:t>1.2开标异议</w:t>
      </w:r>
    </w:p>
    <w:p>
      <w:pPr>
        <w:pStyle w:val="null3"/>
        <w:ind w:firstLine="480"/>
      </w:pPr>
      <w:r>
        <w:rPr/>
        <w:t>投标人代表对开标过程和开标记录有疑义，以及认为采购人、采购代理机构相关工作人员有需要回避的情形的，应当场提出询问或者回避申请。投标人未参加开标的，视同认可开标结果。</w:t>
      </w:r>
    </w:p>
    <w:p>
      <w:pPr>
        <w:pStyle w:val="null3"/>
        <w:ind w:firstLine="480"/>
      </w:pPr>
      <w:r>
        <w:rPr/>
        <w:t>1.3 投标截止时间后，投标人不足须知前附表中约定的有效供应商家数的，不得开标。同时，本次采购活动结束。</w:t>
      </w:r>
    </w:p>
    <w:p>
      <w:pPr>
        <w:pStyle w:val="null3"/>
        <w:ind w:firstLine="480"/>
      </w:pPr>
      <w:r>
        <w:rPr/>
        <w:t>1.4开标时出现下列情况的，视为投标无效处理：</w:t>
      </w:r>
    </w:p>
    <w:p>
      <w:pPr>
        <w:pStyle w:val="null3"/>
        <w:ind w:firstLine="480"/>
      </w:pPr>
      <w:r>
        <w:rPr/>
        <w:t>（1）经检查数字证书无效的；</w:t>
      </w:r>
    </w:p>
    <w:p>
      <w:pPr>
        <w:pStyle w:val="null3"/>
        <w:ind w:firstLine="480"/>
      </w:pPr>
      <w:r>
        <w:rPr/>
        <w:t>（2）因投标人自身原因，未在规定时间内完成电子投标文件解密的；</w:t>
      </w:r>
    </w:p>
    <w:p>
      <w:pPr>
        <w:pStyle w:val="null3"/>
        <w:ind w:firstLine="480"/>
      </w:pPr>
      <w:r>
        <w:rPr/>
        <w:t>（3）如需使用备用电子投标文件解密时，在规定的解密时间内无法提供备用电子投标文件或提供的备用电子投标文件与加密的电子投标文件版本不一致（即两份文件不是通过投标客户端同时加密生成的）。</w:t>
      </w:r>
    </w:p>
    <w:p>
      <w:pPr>
        <w:pStyle w:val="null3"/>
        <w:outlineLvl w:val="3"/>
      </w:pPr>
      <w:r>
        <w:rPr>
          <w:sz w:val="24"/>
          <w:b/>
        </w:rPr>
        <w:t>2.评审（详见第四章）</w:t>
      </w:r>
    </w:p>
    <w:p>
      <w:pPr>
        <w:pStyle w:val="null3"/>
        <w:outlineLvl w:val="3"/>
      </w:pPr>
      <w:r>
        <w:rPr>
          <w:sz w:val="24"/>
          <w:b/>
        </w:rPr>
        <w:t>3.定标</w:t>
      </w:r>
    </w:p>
    <w:p>
      <w:pPr>
        <w:pStyle w:val="null3"/>
        <w:ind w:firstLine="480"/>
      </w:pPr>
      <w:r>
        <w:rPr/>
        <w:t>3.1中标公告：</w:t>
      </w:r>
    </w:p>
    <w:p>
      <w:pPr>
        <w:pStyle w:val="null3"/>
        <w:ind w:firstLine="480"/>
      </w:pPr>
      <w:r>
        <w:rPr/>
        <w:t>中标供应商确定之日起2个工作日内， 采购人或采购代理机构将在中国政府采购网(www.ccgp.gov.cn)、广东省政府采购网(https://gdgpo.czt.gd.gov.cn/)</w:t>
      </w:r>
      <w:r>
        <w:rPr/>
        <w:t>广东有德招标采购有限公司网站（www.youde.net）</w:t>
      </w:r>
      <w:r>
        <w:rPr/>
        <w:t>上以公告的形式发布中标结果，中标公告的公告期限为 1 个工作日。中标公告同时作为采购代理机构通知除中标供应商外的其他投标人没有中标的书面形式，采购代理机构不再以其它方式另行通知。</w:t>
      </w:r>
    </w:p>
    <w:p>
      <w:pPr>
        <w:pStyle w:val="null3"/>
        <w:ind w:firstLine="480"/>
      </w:pPr>
      <w:r>
        <w:rPr/>
        <w:t>3.2中标通知书：</w:t>
      </w:r>
    </w:p>
    <w:p>
      <w:pPr>
        <w:pStyle w:val="null3"/>
        <w:ind w:firstLine="480"/>
      </w:pPr>
      <w:r>
        <w:rPr/>
        <w:t xml:space="preserve"> 中标通知书在发布中标公告时，在云平台同步发送至中标供应商。中标供应商可在云平台自行下载打印《中标通知书》，《中标通知书》将作为授予合同资格的唯一合法依据。中标通知书发出后，采购人不得违法改变中标结果，中标供应商不得放弃中标。中标供应商放弃中标的，应当依法承担相应的法律责任。</w:t>
      </w:r>
    </w:p>
    <w:p>
      <w:pPr>
        <w:pStyle w:val="null3"/>
        <w:ind w:firstLine="480"/>
      </w:pPr>
      <w:r>
        <w:rPr/>
        <w:t>3.3终止公告：</w:t>
      </w:r>
    </w:p>
    <w:p>
      <w:pPr>
        <w:pStyle w:val="null3"/>
        <w:ind w:firstLine="480"/>
      </w:pPr>
      <w:r>
        <w:rPr/>
        <w:t xml:space="preserve"> 项目废标后，采购人或采购代理机构将在中国政府采购网(www.ccgp.gov.cn)、广东省政府采购网(https://gdgpo.czt.gd.gov.cn/)、</w:t>
      </w:r>
      <w:r>
        <w:rPr/>
        <w:t>广东有德招标采购有限公司网站（www.youde.net）</w:t>
      </w:r>
      <w:r>
        <w:rPr/>
        <w:t>上发布终止公告，终止公告的公告期限为1个工作日。</w:t>
      </w:r>
    </w:p>
    <w:p>
      <w:pPr>
        <w:pStyle w:val="null3"/>
        <w:outlineLvl w:val="2"/>
      </w:pPr>
      <w:r>
        <w:rPr>
          <w:sz w:val="28"/>
          <w:b/>
        </w:rPr>
        <w:t>七、询问、质疑与投诉</w:t>
      </w:r>
    </w:p>
    <w:p>
      <w:pPr>
        <w:pStyle w:val="null3"/>
        <w:outlineLvl w:val="3"/>
      </w:pPr>
      <w:r>
        <w:rPr>
          <w:sz w:val="24"/>
          <w:b/>
        </w:rPr>
        <w:t>1.询问</w:t>
      </w:r>
    </w:p>
    <w:p>
      <w:pPr>
        <w:pStyle w:val="null3"/>
        <w:ind w:firstLine="480"/>
      </w:pPr>
      <w:r>
        <w:rPr/>
        <w:t xml:space="preserve"> 投标人对政府采购活动事项（招标文件、采购过程和中标结果）有疑问的，可以向采购人或采购代理机构提出询问，采购人或采购代理机构将及时作出答复，但答复的内容不涉及商业秘密。询问可以口头方式提出，也可以书面方式提出，书面方式包括但不限于传真、信函、电子邮件。联系方式见《投标邀请函》中“采购人、采购代理机构的名称、地址和联系方式”。</w:t>
      </w:r>
    </w:p>
    <w:p>
      <w:pPr>
        <w:pStyle w:val="null3"/>
        <w:outlineLvl w:val="3"/>
      </w:pPr>
      <w:r>
        <w:rPr>
          <w:sz w:val="24"/>
          <w:b/>
        </w:rPr>
        <w:t>2.质疑</w:t>
      </w:r>
    </w:p>
    <w:p>
      <w:pPr>
        <w:pStyle w:val="null3"/>
        <w:ind w:firstLine="480"/>
      </w:pPr>
      <w:r>
        <w:rPr/>
        <w:t xml:space="preserve"> 2.1供应商认为招标文件、采购过程和中标结果使自己的权益受到损害的，可以在知道或者应知其权益受到损害之日起七个工作日内，以书面原件形式向采购人或采购代理机构一次性提出针对同一采购程序环节的质疑，逾期质疑无效。供应商应知其权益受到损害之日是指：</w:t>
      </w:r>
    </w:p>
    <w:p>
      <w:pPr>
        <w:pStyle w:val="null3"/>
        <w:ind w:firstLine="480"/>
      </w:pPr>
      <w:r>
        <w:rPr/>
        <w:t>(1)对招标文件提出质疑的，为获取招标文件之日或者招标文件公告期限届满之日；</w:t>
      </w:r>
    </w:p>
    <w:p>
      <w:pPr>
        <w:pStyle w:val="null3"/>
        <w:ind w:firstLine="480"/>
      </w:pPr>
      <w:r>
        <w:rPr/>
        <w:t>(2)对采购过程提出质疑的，为各采购程序环节结束之日；</w:t>
      </w:r>
    </w:p>
    <w:p>
      <w:pPr>
        <w:pStyle w:val="null3"/>
        <w:ind w:firstLine="480"/>
      </w:pPr>
      <w:r>
        <w:rPr/>
        <w:t>(3)对中标结果提出质疑的，为中标结果公告期限届满之日。</w:t>
      </w:r>
    </w:p>
    <w:p>
      <w:pPr>
        <w:pStyle w:val="null3"/>
        <w:ind w:firstLine="480"/>
      </w:pPr>
      <w:r>
        <w:rPr/>
        <w:t>2.2质疑函应当包括下列主要内容：</w:t>
      </w:r>
    </w:p>
    <w:p>
      <w:pPr>
        <w:pStyle w:val="null3"/>
        <w:ind w:firstLine="480"/>
      </w:pPr>
      <w:r>
        <w:rPr/>
        <w:t>(1)质疑供应商和相关供应商的名称、地址、邮编、联系人及联系电话等；</w:t>
      </w:r>
    </w:p>
    <w:p>
      <w:pPr>
        <w:pStyle w:val="null3"/>
        <w:ind w:firstLine="480"/>
      </w:pPr>
      <w:r>
        <w:rPr/>
        <w:t>(2)质疑项目名称及编号、具体明确的质疑事项和与质疑事项相关的请求；</w:t>
      </w:r>
    </w:p>
    <w:p>
      <w:pPr>
        <w:pStyle w:val="null3"/>
        <w:ind w:firstLine="480"/>
      </w:pPr>
      <w:r>
        <w:rPr/>
        <w:t>(3)认为采购文件、采购过程、中标和成交结果使自己的合法权益受到损害的法律依据、事实依据、相关证明材料及证据来源；</w:t>
      </w:r>
    </w:p>
    <w:p>
      <w:pPr>
        <w:pStyle w:val="null3"/>
        <w:ind w:firstLine="480"/>
      </w:pPr>
      <w:r>
        <w:rPr/>
        <w:t>(4)提出质疑的日期。</w:t>
      </w:r>
    </w:p>
    <w:p>
      <w:pPr>
        <w:pStyle w:val="null3"/>
        <w:ind w:firstLine="480"/>
      </w:pPr>
      <w:r>
        <w:rPr/>
        <w:t>2.3 质疑函应当署名。质疑供应商为自然人的，应当由本人签字；质疑供应商为法人或者其他组织的，应当由法定代表人、主要负责人，或者其授权代表签字或者盖章，并加盖公章。</w:t>
      </w:r>
    </w:p>
    <w:p>
      <w:pPr>
        <w:pStyle w:val="null3"/>
        <w:ind w:firstLine="480"/>
      </w:pPr>
      <w:r>
        <w:rPr/>
        <w:t>2.4以联合体形式参加政府采购活动的，其质疑应当由联合体成员委托主体提出。</w:t>
      </w:r>
    </w:p>
    <w:p>
      <w:pPr>
        <w:pStyle w:val="null3"/>
        <w:ind w:firstLine="480"/>
      </w:pPr>
      <w:r>
        <w:rPr/>
        <w:t xml:space="preserve"> 2.5供应商质疑应当有明确的请求和必要的证明材料。质疑内容不得含有虚假、恶意成份。依照谁主张谁举证的原则，提出质疑者必须同时提交相关确凿的证据材料和注明证据的确切来源，证据来源必须合法，采购人或采购代理机构有权将质疑函转发质疑事项各关联方，请其作出解释说明。对捏造事实、滥用维权扰乱采购秩序的恶意质疑者，将上报政府采购监督管理部门依法处理。</w:t>
      </w:r>
    </w:p>
    <w:p>
      <w:pPr>
        <w:pStyle w:val="null3"/>
        <w:ind w:firstLine="480"/>
      </w:pPr>
      <w:r>
        <w:rPr/>
        <w:t>2.6质疑联系方式如下：</w:t>
      </w:r>
    </w:p>
    <w:p>
      <w:pPr>
        <w:pStyle w:val="null3"/>
        <w:ind w:firstLine="480"/>
      </w:pPr>
      <w:r>
        <w:rPr/>
        <w:t>质疑联系人：</w:t>
      </w:r>
      <w:r>
        <w:rPr/>
        <w:t>范小姐</w:t>
      </w:r>
    </w:p>
    <w:p>
      <w:pPr>
        <w:pStyle w:val="null3"/>
        <w:ind w:firstLine="480"/>
      </w:pPr>
      <w:r>
        <w:rPr/>
        <w:t>电话：</w:t>
      </w:r>
      <w:r>
        <w:rPr/>
        <w:t>020-88260083</w:t>
      </w:r>
    </w:p>
    <w:p>
      <w:pPr>
        <w:pStyle w:val="null3"/>
        <w:ind w:firstLine="480"/>
      </w:pPr>
      <w:r>
        <w:rPr/>
        <w:t>传真：</w:t>
      </w:r>
      <w:r>
        <w:rPr/>
        <w:t>/</w:t>
      </w:r>
    </w:p>
    <w:p>
      <w:pPr>
        <w:pStyle w:val="null3"/>
        <w:ind w:firstLine="480"/>
      </w:pPr>
      <w:r>
        <w:rPr/>
        <w:t>邮箱：</w:t>
      </w:r>
      <w:r>
        <w:rPr/>
        <w:t>shiyebu_youde@163.com</w:t>
      </w:r>
    </w:p>
    <w:p>
      <w:pPr>
        <w:pStyle w:val="null3"/>
        <w:ind w:firstLine="480"/>
      </w:pPr>
      <w:r>
        <w:rPr/>
        <w:t>地址：</w:t>
      </w:r>
      <w:r>
        <w:rPr/>
        <w:t>广州市天河北路626号保利中宇广场A座25楼</w:t>
      </w:r>
    </w:p>
    <w:p>
      <w:pPr>
        <w:pStyle w:val="null3"/>
        <w:ind w:firstLine="480"/>
      </w:pPr>
      <w:r>
        <w:rPr/>
        <w:t>邮编：</w:t>
      </w:r>
      <w:r>
        <w:rPr/>
        <w:t>510635</w:t>
      </w:r>
    </w:p>
    <w:p>
      <w:pPr>
        <w:pStyle w:val="null3"/>
        <w:outlineLvl w:val="3"/>
      </w:pPr>
      <w:r>
        <w:rPr>
          <w:sz w:val="24"/>
          <w:b/>
        </w:rPr>
        <w:t>3.投诉</w:t>
      </w:r>
    </w:p>
    <w:p>
      <w:pPr>
        <w:pStyle w:val="null3"/>
        <w:ind w:firstLine="480"/>
      </w:pPr>
      <w:r>
        <w:rPr/>
        <w:t>质疑人对采购人或采购代理机构的质疑答复不满意或在规定时间内未得到答复的，可以在答复期满后15个工作日内，按如下联系方式向本项目监督管理部门提起投诉。</w:t>
      </w:r>
    </w:p>
    <w:p>
      <w:pPr>
        <w:pStyle w:val="null3"/>
      </w:pPr>
      <w:r>
        <w:rPr/>
        <w:t>政府采购监督管理机构名称：广东省财政厅政府采购监管处</w:t>
      </w:r>
    </w:p>
    <w:p>
      <w:pPr>
        <w:pStyle w:val="null3"/>
      </w:pPr>
      <w:r>
        <w:rPr/>
        <w:t>地 址：广州市越秀区北京路376号北裙楼313室</w:t>
      </w:r>
    </w:p>
    <w:p>
      <w:pPr>
        <w:pStyle w:val="null3"/>
      </w:pPr>
      <w:r>
        <w:rPr/>
        <w:t>电 话：020-83340570</w:t>
      </w:r>
    </w:p>
    <w:p>
      <w:pPr>
        <w:pStyle w:val="null3"/>
      </w:pPr>
      <w:r>
        <w:rPr/>
        <w:t>邮 编：510030</w:t>
      </w:r>
    </w:p>
    <w:p>
      <w:pPr>
        <w:pStyle w:val="null3"/>
        <w:outlineLvl w:val="2"/>
      </w:pPr>
      <w:r>
        <w:rPr>
          <w:sz w:val="28"/>
          <w:b/>
        </w:rPr>
        <w:t>八、合同签订和履行</w:t>
      </w:r>
    </w:p>
    <w:p>
      <w:pPr>
        <w:pStyle w:val="null3"/>
        <w:outlineLvl w:val="3"/>
      </w:pPr>
      <w:r>
        <w:rPr>
          <w:sz w:val="24"/>
          <w:b/>
        </w:rPr>
        <w:t>1.合同签订</w:t>
      </w:r>
    </w:p>
    <w:p>
      <w:pPr>
        <w:pStyle w:val="null3"/>
        <w:ind w:firstLine="480"/>
      </w:pPr>
      <w:r>
        <w:rPr/>
        <w:t xml:space="preserve"> 1.1采购人应当自《中标通知书》发出之日起三十日内，按照招标文件和中标供应商投标文件的约定，与中标供应商签订合同。所签订的合同不得对招标文件和中标供应商投标文件作实质性修改。超过30天尚未完成政府采购合同签订的政府采购项目，采购人应当登录广东省政府采购网，填报未能依法签订政府采购合同的具体原因、整改措施和预计签订合同时间等信息。</w:t>
      </w:r>
    </w:p>
    <w:p>
      <w:pPr>
        <w:pStyle w:val="null3"/>
        <w:ind w:firstLine="480"/>
      </w:pPr>
      <w:r>
        <w:rPr/>
        <w:t>1.2采购人不得提出试用合格等任何不合理的要求作为签订合同的条件，且不得与中标供应商私下订立背离合同实质性内容的协议。</w:t>
      </w:r>
    </w:p>
    <w:p>
      <w:pPr>
        <w:pStyle w:val="null3"/>
        <w:ind w:firstLine="480"/>
      </w:pPr>
      <w:r>
        <w:rPr/>
        <w:t>1.3合同条款中应规定，乙方完全遵守《中华人民共和国民法典》有关规定和《中华人民共和国妇女权益保障法》中关于“劳动和社会保障权益”的有关要求。</w:t>
      </w:r>
    </w:p>
    <w:p>
      <w:pPr>
        <w:pStyle w:val="null3"/>
        <w:ind w:firstLine="480"/>
      </w:pPr>
      <w:r>
        <w:rPr/>
        <w:t>1.4采购人应当自政府采购合同签订之日起2个工作日内，将政府采购合同在省级以上人民政府财政部门指定的媒体上公告，但政府采购合同中涉及国家秘密、商业秘密的内容除外。</w:t>
      </w:r>
    </w:p>
    <w:p>
      <w:pPr>
        <w:pStyle w:val="null3"/>
        <w:ind w:firstLine="480"/>
      </w:pPr>
      <w:r>
        <w:rPr/>
        <w:t xml:space="preserve"> 1.5采购人应当自政府采购合同签订之日起2个工作日内，登录广东省政府采购网上传政府采购合同扫描版，如实填报政府采购合同的签订时间。依法签订的补充合同，也应在补充合同签订之日起2个工作日内公开并备案采购合同。</w:t>
      </w:r>
    </w:p>
    <w:p>
      <w:pPr>
        <w:pStyle w:val="null3"/>
        <w:outlineLvl w:val="3"/>
      </w:pPr>
      <w:r>
        <w:rPr>
          <w:sz w:val="24"/>
          <w:b/>
        </w:rPr>
        <w:t>2.合同的履行</w:t>
      </w:r>
    </w:p>
    <w:p>
      <w:pPr>
        <w:pStyle w:val="null3"/>
        <w:ind w:firstLine="480"/>
      </w:pPr>
      <w:r>
        <w:rPr/>
        <w:t xml:space="preserve"> 2.1政府采购合同订立后，合同各方不得擅自变更、中止或者终止合同。</w:t>
      </w:r>
    </w:p>
    <w:p>
      <w:pPr>
        <w:pStyle w:val="null3"/>
        <w:ind w:firstLine="480"/>
      </w:pPr>
      <w:r>
        <w:rPr/>
        <w:t xml:space="preserve"> 2.2政府采购合同履行中，采购人需追加与合同标的相同的货物、工程或者服务的，在不改变合同其他条款的前提下，可以与成交供应商签订补充合同，但所补充合同的采购金额不得超过原采购金额的10%。依法签订的补充合同，也应在补充合同签订之日起2个工作日内登录广东省政府采购网上传备案。</w:t>
      </w:r>
    </w:p>
    <w:p>
      <w:pPr>
        <w:pStyle w:val="null3"/>
      </w:pPr>
      <w:r>
        <w:rPr/>
        <w:t xml:space="preserve">  </w:t>
      </w:r>
    </w:p>
    <w:p>
      <w:pPr>
        <w:pStyle w:val="null3"/>
        <w:jc w:val="center"/>
        <w:outlineLvl w:val="1"/>
      </w:pPr>
      <w:r>
        <w:rPr>
          <w:sz w:val="36"/>
          <w:b/>
        </w:rPr>
        <w:t>第四章 评标</w:t>
      </w:r>
    </w:p>
    <w:p>
      <w:pPr>
        <w:pStyle w:val="null3"/>
        <w:outlineLvl w:val="2"/>
      </w:pPr>
      <w:r>
        <w:rPr>
          <w:sz w:val="28"/>
          <w:b/>
        </w:rPr>
        <w:t>一、评标要求</w:t>
      </w:r>
    </w:p>
    <w:p>
      <w:pPr>
        <w:pStyle w:val="null3"/>
        <w:outlineLvl w:val="3"/>
      </w:pPr>
      <w:r>
        <w:rPr>
          <w:sz w:val="24"/>
          <w:b/>
        </w:rPr>
        <w:t>1.评标方法</w:t>
      </w:r>
    </w:p>
    <w:p>
      <w:pPr>
        <w:pStyle w:val="null3"/>
      </w:pPr>
      <w:r>
        <w:rPr/>
        <w:t>采购包1(广东交通职业技术学院智慧校园综合服务平台三期建设)：综合评分法,是指投标文件满足招标文件全部实质性要求，且按照评审因素的量化指标评审得分最高的投标人为中标候选人的评标方法。（最低报价不是中标的唯一依据。）</w:t>
      </w:r>
    </w:p>
    <w:p>
      <w:pPr>
        <w:pStyle w:val="null3"/>
        <w:outlineLvl w:val="3"/>
      </w:pPr>
      <w:r>
        <w:rPr>
          <w:sz w:val="24"/>
          <w:b/>
        </w:rPr>
        <w:t>2.评标原则</w:t>
      </w:r>
    </w:p>
    <w:p>
      <w:pPr>
        <w:pStyle w:val="null3"/>
        <w:ind w:firstLine="480"/>
      </w:pPr>
      <w:r>
        <w:rPr/>
        <w:t>2.1评标活动遵循公平、公正、科学和择优的原则，以招标文件和投标文件为评标的基本依据，并按照招标文件规定的评标方法和评标标准进行评标。</w:t>
      </w:r>
    </w:p>
    <w:p>
      <w:pPr>
        <w:pStyle w:val="null3"/>
        <w:ind w:firstLine="480"/>
      </w:pPr>
      <w:r>
        <w:rPr/>
        <w:t>2.2具体评标事项由评标委员会负责，并按招标文件的规定办法进行评审。</w:t>
      </w:r>
    </w:p>
    <w:p>
      <w:pPr>
        <w:pStyle w:val="null3"/>
        <w:ind w:firstLine="480"/>
      </w:pPr>
      <w:r>
        <w:rPr/>
        <w:t>2.3合格投标人不足须知前附表中约定的有效供应商家数的，不得评标。</w:t>
      </w:r>
    </w:p>
    <w:p>
      <w:pPr>
        <w:pStyle w:val="null3"/>
        <w:outlineLvl w:val="3"/>
      </w:pPr>
      <w:r>
        <w:rPr>
          <w:sz w:val="24"/>
          <w:b/>
        </w:rPr>
        <w:t>3.评标委员会</w:t>
      </w:r>
    </w:p>
    <w:p>
      <w:pPr>
        <w:pStyle w:val="null3"/>
        <w:ind w:firstLine="480"/>
      </w:pPr>
      <w:r>
        <w:rPr/>
        <w:t>3.1评标委员会由采购人代表和评审专家组成，成员人数应当为5人及以上单数，其中评审专家不得少于成员总数的三分之二。</w:t>
      </w:r>
    </w:p>
    <w:p>
      <w:pPr>
        <w:pStyle w:val="null3"/>
        <w:ind w:firstLine="480"/>
      </w:pPr>
      <w:r>
        <w:rPr/>
        <w:t>3.2评标应遵守下列评标纪律：</w:t>
      </w:r>
    </w:p>
    <w:p>
      <w:pPr>
        <w:pStyle w:val="null3"/>
        <w:ind w:firstLine="480"/>
      </w:pPr>
      <w:r>
        <w:rPr/>
        <w:t>（1）评标情况不得私自外泄，有关信息由</w:t>
      </w:r>
      <w:r>
        <w:rPr/>
        <w:t>广东有德招标采购有限公司</w:t>
      </w:r>
      <w:r>
        <w:rPr/>
        <w:t>统一对外发布。</w:t>
      </w:r>
    </w:p>
    <w:p>
      <w:pPr>
        <w:pStyle w:val="null3"/>
        <w:ind w:firstLine="480"/>
      </w:pPr>
      <w:r>
        <w:rPr/>
        <w:t>（2）对</w:t>
      </w:r>
      <w:r>
        <w:rPr/>
        <w:t>广东有德招标采购有限公司</w:t>
      </w:r>
      <w:r>
        <w:rPr/>
        <w:t>或投标人提供的要求保密的资料，不得摘记翻印和外传。</w:t>
      </w:r>
    </w:p>
    <w:p>
      <w:pPr>
        <w:pStyle w:val="null3"/>
        <w:ind w:firstLine="480"/>
      </w:pPr>
      <w:r>
        <w:rPr/>
        <w:t>（3）不得收受投标供应商或有关人员的任何礼物，不得串联鼓动其他人袒护某投标人。若与投标人存在利害关系，则应主动声明并回避。</w:t>
      </w:r>
    </w:p>
    <w:p>
      <w:pPr>
        <w:pStyle w:val="null3"/>
        <w:ind w:firstLine="480"/>
      </w:pPr>
      <w:r>
        <w:rPr/>
        <w:t>（4）全体评委应按照招标文件规定进行评标，一切认定事项应查有实据且不得弄虚作假。</w:t>
      </w:r>
    </w:p>
    <w:p>
      <w:pPr>
        <w:pStyle w:val="null3"/>
        <w:ind w:firstLine="480"/>
      </w:pPr>
      <w:r>
        <w:rPr/>
        <w:t>（5）评标委员会各成员应当独立对每个投标人的投标文件进行评价，并对评价意见承担个人责任。评审过程中，不得发表倾向性言论。</w:t>
      </w:r>
    </w:p>
    <w:p>
      <w:pPr>
        <w:pStyle w:val="null3"/>
        <w:ind w:firstLine="480"/>
      </w:pPr>
      <w:r>
        <w:rPr/>
        <w:t>※对违反评标纪律的评委，将取消其评委资格，对评标工作造成严重损失者将予以通报批评乃至追究法律责任。</w:t>
      </w:r>
    </w:p>
    <w:p>
      <w:pPr>
        <w:pStyle w:val="null3"/>
        <w:outlineLvl w:val="3"/>
      </w:pPr>
      <w:r>
        <w:rPr>
          <w:sz w:val="24"/>
          <w:b/>
        </w:rPr>
        <w:t>4.有下列情形之一的，视为投标人串通投标，其投标无效；</w:t>
      </w:r>
    </w:p>
    <w:p>
      <w:pPr>
        <w:pStyle w:val="null3"/>
        <w:ind w:firstLine="480"/>
      </w:pPr>
      <w:r>
        <w:rPr/>
        <w:t>4.1不同投标人的投标文件由同一单位或者个人编制；</w:t>
      </w:r>
    </w:p>
    <w:p>
      <w:pPr>
        <w:pStyle w:val="null3"/>
        <w:ind w:firstLine="480"/>
      </w:pPr>
      <w:r>
        <w:rPr/>
        <w:t>4.2不同投标人委托同一单位或者个人办理投标事宜；</w:t>
      </w:r>
    </w:p>
    <w:p>
      <w:pPr>
        <w:pStyle w:val="null3"/>
        <w:ind w:firstLine="480"/>
      </w:pPr>
      <w:r>
        <w:rPr/>
        <w:t>4.3不同投标人的投标文件载明的项目管理成员或者联系人员为同一人；</w:t>
      </w:r>
    </w:p>
    <w:p>
      <w:pPr>
        <w:pStyle w:val="null3"/>
        <w:ind w:firstLine="480"/>
      </w:pPr>
      <w:r>
        <w:rPr/>
        <w:t>4.4不同投标人的投标文件异常一致或者投标报价呈规律性差异；</w:t>
      </w:r>
    </w:p>
    <w:p>
      <w:pPr>
        <w:pStyle w:val="null3"/>
        <w:ind w:firstLine="480"/>
      </w:pPr>
      <w:r>
        <w:rPr/>
        <w:t>4.5不同投标人的投标文件相互混装；</w:t>
      </w:r>
    </w:p>
    <w:p>
      <w:pPr>
        <w:pStyle w:val="null3"/>
        <w:ind w:firstLine="480"/>
      </w:pPr>
      <w:r>
        <w:rPr/>
        <w:t>4.6不同投标人的投标保证金或购买电子保函支付款为从同一单位或个人的账户转出；</w:t>
      </w:r>
    </w:p>
    <w:p>
      <w:pPr>
        <w:pStyle w:val="null3"/>
        <w:ind w:firstLine="480"/>
      </w:pPr>
      <w:r>
        <w:rPr/>
        <w:t>4.7投标人上传的电子投标文件加盖该项目的其他投标人的电子印章的。</w:t>
      </w:r>
    </w:p>
    <w:p>
      <w:pPr>
        <w:pStyle w:val="null3"/>
        <w:ind w:firstLine="480"/>
      </w:pPr>
      <w:r>
        <w:rPr/>
        <w:t xml:space="preserve"> 说明：在评标过程中发现投标人有上述情形的，评标委员会应当认定其投标无效。同时，项目评审时被认定为串通投标的投标人不得参加该合同项下的采购活动。</w:t>
      </w:r>
    </w:p>
    <w:p>
      <w:pPr>
        <w:pStyle w:val="null3"/>
        <w:outlineLvl w:val="3"/>
      </w:pPr>
      <w:r>
        <w:rPr>
          <w:sz w:val="24"/>
          <w:b/>
        </w:rPr>
        <w:t>5.投标无效的情形</w:t>
      </w:r>
    </w:p>
    <w:p>
      <w:pPr>
        <w:pStyle w:val="null3"/>
        <w:ind w:firstLine="480"/>
      </w:pPr>
      <w:r>
        <w:rPr/>
        <w:t>详见资格性审查、符合性审查和招标文件其他投标无效条款。</w:t>
      </w:r>
    </w:p>
    <w:p>
      <w:pPr>
        <w:pStyle w:val="null3"/>
        <w:outlineLvl w:val="3"/>
      </w:pPr>
      <w:r>
        <w:rPr>
          <w:sz w:val="24"/>
          <w:b/>
        </w:rPr>
        <w:t>6.定标</w:t>
      </w:r>
    </w:p>
    <w:p>
      <w:pPr>
        <w:pStyle w:val="null3"/>
        <w:ind w:firstLine="480"/>
      </w:pPr>
      <w:r>
        <w:rPr/>
        <w:t>评标委员会按照招标文件确定的评标方法、步骤、标准，对投标文件进行评审。评标结束后，对投标人的评审名次进行排序，确定中标供应商或者推荐中标候选人。</w:t>
      </w:r>
    </w:p>
    <w:p>
      <w:pPr>
        <w:pStyle w:val="null3"/>
        <w:outlineLvl w:val="3"/>
      </w:pPr>
      <w:r>
        <w:rPr>
          <w:sz w:val="24"/>
          <w:b/>
        </w:rPr>
        <w:t>7.价格修正</w:t>
      </w:r>
    </w:p>
    <w:p>
      <w:pPr>
        <w:pStyle w:val="null3"/>
        <w:ind w:firstLine="480"/>
      </w:pPr>
      <w:r>
        <w:rPr/>
        <w:t>对报价的计算错误按以下原则修正：</w:t>
      </w:r>
    </w:p>
    <w:p>
      <w:pPr>
        <w:pStyle w:val="null3"/>
        <w:ind w:firstLine="480"/>
      </w:pPr>
      <w:r>
        <w:rPr/>
        <w:t>（1）投标文件中开标一览表内容与投标文件中相应内容不一致的，以开标一览表为准；</w:t>
      </w:r>
    </w:p>
    <w:p>
      <w:pPr>
        <w:pStyle w:val="null3"/>
        <w:ind w:firstLine="480"/>
      </w:pPr>
      <w:r>
        <w:rPr/>
        <w:t>（2）大写金额和小写金额不一致的，以大写金额为准；</w:t>
      </w:r>
    </w:p>
    <w:p>
      <w:pPr>
        <w:pStyle w:val="null3"/>
        <w:ind w:firstLine="480"/>
      </w:pPr>
      <w:r>
        <w:rPr/>
        <w:t>（3）单价金额小数点或者百分比有明显错位的，以开标一览表的总价为准，并修改单价。</w:t>
      </w:r>
    </w:p>
    <w:p>
      <w:pPr>
        <w:pStyle w:val="null3"/>
        <w:ind w:firstLine="480"/>
      </w:pPr>
      <w:r>
        <w:rPr/>
        <w:t>（4）总价金额与按单价汇总金额不一致的，以单价金额计算结果为准。但是单价金额计算结果超过预算价的，对其按无效投标处理。</w:t>
      </w:r>
    </w:p>
    <w:p>
      <w:pPr>
        <w:pStyle w:val="null3"/>
        <w:ind w:firstLine="480"/>
      </w:pPr>
      <w:r>
        <w:rPr/>
        <w:t>（5）若投标客户端上传的电子报价数据与电子投标文件价格不一致的，以电子报价数据为准。</w:t>
      </w:r>
    </w:p>
    <w:p>
      <w:pPr>
        <w:pStyle w:val="null3"/>
        <w:ind w:firstLine="480"/>
      </w:pPr>
      <w:r>
        <w:rPr/>
        <w:t xml:space="preserve"> 注：同时出现两种以上不一致的，按照前款规定的顺序在系统上进行价格澄清。澄清后的价格加盖电子印章确认后产生约束力，但不得超出投标文件的范围或者改变投标文件的实质性内容，投标人不确认的，其投标无效。</w:t>
      </w:r>
    </w:p>
    <w:p>
      <w:pPr>
        <w:pStyle w:val="null3"/>
        <w:outlineLvl w:val="2"/>
      </w:pPr>
      <w:r>
        <w:rPr>
          <w:sz w:val="28"/>
          <w:b/>
        </w:rPr>
        <w:t>二.政府采购政策落实</w:t>
      </w:r>
    </w:p>
    <w:p>
      <w:pPr>
        <w:pStyle w:val="null3"/>
        <w:outlineLvl w:val="3"/>
      </w:pPr>
      <w:r>
        <w:rPr>
          <w:sz w:val="24"/>
          <w:b/>
        </w:rPr>
        <w:t>1.节能、环保要求</w:t>
      </w:r>
    </w:p>
    <w:p>
      <w:pPr>
        <w:pStyle w:val="null3"/>
        <w:ind w:firstLine="480"/>
      </w:pPr>
      <w:r>
        <w:rPr/>
        <w:t xml:space="preserve"> 采购的产品属于品目清单范围的，将依据国家确定的认证机构出具的、处于有效期之内的节能产品、环境标志产品认证证书，对获得证书的产品实施政府优先采购或强制采购，具体按照本招标文件相关要求执行。</w:t>
      </w:r>
    </w:p>
    <w:p>
      <w:pPr>
        <w:pStyle w:val="null3"/>
        <w:ind w:firstLine="480"/>
      </w:pPr>
      <w:r>
        <w:rPr/>
        <w:t>相关认证机构和获证产品信息以市场监管总局组织建立的节能产品、环境标志产品认证结果信息发布平台公布为准。</w:t>
      </w:r>
    </w:p>
    <w:p>
      <w:pPr>
        <w:pStyle w:val="null3"/>
        <w:outlineLvl w:val="3"/>
      </w:pPr>
      <w:r>
        <w:rPr>
          <w:sz w:val="24"/>
          <w:b/>
        </w:rPr>
        <w:t>2.对小型、微型企业、监狱企业或残疾人福利性单位给予价格扣除</w:t>
      </w:r>
    </w:p>
    <w:p>
      <w:pPr>
        <w:pStyle w:val="null3"/>
        <w:ind w:firstLine="480"/>
      </w:pPr>
      <w:r>
        <w:rPr/>
        <w:t>依照《政府采购促进中小企业发展管理办法》、《支持监狱企业发展有关问题的通知》和《财政部 民政部 中国残疾人联合会关于促进残疾人就业政府采购政策的通知》的规定，凡符合享受《政府采购促进中小企业发展管理办法》规定的中小企业扶持政策的单位，按照以下比例给予相应的价格扣除：（监狱企业、残疾人福利性单位视同为小、微企业）。</w:t>
      </w:r>
    </w:p>
    <w:p>
      <w:pPr>
        <w:pStyle w:val="null3"/>
        <w:outlineLvl w:val="3"/>
      </w:pPr>
      <w:r>
        <w:rPr>
          <w:sz w:val="24"/>
          <w:b/>
        </w:rPr>
        <w:t>3.价格扣除相关要求</w:t>
      </w:r>
    </w:p>
    <w:p>
      <w:pPr>
        <w:pStyle w:val="null3"/>
      </w:pPr>
      <w:r>
        <w:rPr/>
        <w:t>采购包1（广东交通职业技术学院智慧校园综合服务平台三期建设）：</w:t>
      </w:r>
    </w:p>
    <w:tbl>
      <w:tblPr>
        <w:tblW w:w="0" w:type="auto"/>
        <w:tblBorders>
          <w:top w:val="single"/>
          <w:left w:val="single"/>
          <w:bottom w:val="single"/>
          <w:right w:val="single"/>
          <w:insideH w:val="single"/>
          <w:insideV w:val="single"/>
        </w:tblBorders>
      </w:tblPr>
      <w:tblGrid>
        <w:gridCol w:w="581"/>
        <w:gridCol w:w="2160"/>
        <w:gridCol w:w="2160"/>
        <w:gridCol w:w="1246"/>
        <w:gridCol w:w="2160"/>
      </w:tblGrid>
      <w:tr>
        <w:tc>
          <w:tcPr>
            <w:tcW w:type="dxa" w:w="581"/>
          </w:tcPr>
          <w:p>
            <w:pPr>
              <w:pStyle w:val="null3"/>
            </w:pPr>
            <w:r>
              <w:rPr/>
              <w:t>序号</w:t>
            </w:r>
          </w:p>
        </w:tc>
        <w:tc>
          <w:tcPr>
            <w:tcW w:type="dxa" w:w="2160"/>
          </w:tcPr>
          <w:p>
            <w:pPr>
              <w:pStyle w:val="null3"/>
            </w:pPr>
            <w:r>
              <w:rPr/>
              <w:t>情形</w:t>
            </w:r>
          </w:p>
        </w:tc>
        <w:tc>
          <w:tcPr>
            <w:tcW w:type="dxa" w:w="2160"/>
          </w:tcPr>
          <w:p>
            <w:pPr>
              <w:pStyle w:val="null3"/>
            </w:pPr>
            <w:r>
              <w:rPr/>
              <w:t>适用对象</w:t>
            </w:r>
          </w:p>
        </w:tc>
        <w:tc>
          <w:tcPr>
            <w:tcW w:type="dxa" w:w="1246"/>
          </w:tcPr>
          <w:p>
            <w:pPr>
              <w:pStyle w:val="null3"/>
            </w:pPr>
            <w:r>
              <w:rPr/>
              <w:t>价格扣除比例</w:t>
            </w:r>
          </w:p>
        </w:tc>
        <w:tc>
          <w:tcPr>
            <w:tcW w:type="dxa" w:w="2160"/>
          </w:tcPr>
          <w:p>
            <w:pPr>
              <w:pStyle w:val="null3"/>
            </w:pPr>
            <w:r>
              <w:rPr/>
              <w:t>计算公式</w:t>
            </w:r>
          </w:p>
        </w:tc>
      </w:tr>
      <w:tr>
        <w:tc>
          <w:tcPr>
            <w:tcW w:type="dxa" w:w="581"/>
          </w:tcPr>
          <w:p>
            <w:pPr>
              <w:pStyle w:val="null3"/>
            </w:pPr>
            <w:r>
              <w:rPr/>
              <w:t>1</w:t>
            </w:r>
          </w:p>
        </w:tc>
        <w:tc>
          <w:tcPr>
            <w:tcW w:type="dxa" w:w="2160"/>
          </w:tcPr>
          <w:p>
            <w:pPr>
              <w:pStyle w:val="null3"/>
              <w:jc w:val="left"/>
            </w:pPr>
            <w:r>
              <w:rPr/>
              <w:t>小型、微型企业，监狱企业，残疾人福利性单位</w:t>
            </w:r>
          </w:p>
        </w:tc>
        <w:tc>
          <w:tcPr>
            <w:tcW w:type="dxa" w:w="2160"/>
          </w:tcPr>
          <w:p>
            <w:pPr>
              <w:pStyle w:val="null3"/>
            </w:pPr>
            <w:r>
              <w:rPr/>
              <w:t>服务由小微企业承接</w:t>
            </w:r>
          </w:p>
        </w:tc>
        <w:tc>
          <w:tcPr>
            <w:tcW w:type="dxa" w:w="1246"/>
          </w:tcPr>
          <w:p>
            <w:pPr>
              <w:pStyle w:val="null3"/>
            </w:pPr>
            <w:r>
              <w:rPr/>
              <w:t>10%</w:t>
            </w:r>
          </w:p>
        </w:tc>
        <w:tc>
          <w:tcPr>
            <w:tcW w:type="dxa" w:w="2160"/>
          </w:tcPr>
          <w:p>
            <w:pPr>
              <w:pStyle w:val="null3"/>
              <w:jc w:val="left"/>
            </w:pPr>
            <w:r>
              <w:rPr/>
              <w:t>货物由小微企业制造，即货物由小微企业生产且使用该小微企业商号或者注册商标时，给予价格扣除C1，即：评标价=投标报价×（1-C1）;监狱企业与残疾人福利性单位视同小型、微型企业，享受同等价格扣除，当企业属性重复时，不重复价格扣除。</w:t>
            </w:r>
          </w:p>
        </w:tc>
      </w:tr>
      <w:tr>
        <w:tc>
          <w:tcPr>
            <w:tcW w:type="dxa" w:w="8307"/>
            <w:gridSpan w:val="5"/>
          </w:tcPr>
          <w:p>
            <w:pPr>
              <w:pStyle w:val="null3"/>
              <w:jc w:val="left"/>
            </w:pPr>
            <w:r>
              <w:rPr/>
              <w:t>注：（1）上述评标价仅用于计算价格分，成交金额以实际投标价为准。 （2）组成联合体的大中型企业和其他自然人、法人或者其他组织、与小型、微型企业之间不得存在投资关系。</w:t>
            </w:r>
          </w:p>
        </w:tc>
      </w:tr>
    </w:tbl>
    <w:p>
      <w:pPr>
        <w:pStyle w:val="null3"/>
      </w:pPr>
      <w:r>
        <w:br/>
      </w:r>
      <w:r>
        <w:br/>
      </w:r>
    </w:p>
    <w:p>
      <w:pPr>
        <w:pStyle w:val="null3"/>
        <w:ind w:firstLine="480"/>
      </w:pPr>
      <w:r>
        <w:rPr/>
        <w:t>（1）所称小型和微型企业应当符合以下条件：</w:t>
      </w:r>
    </w:p>
    <w:p>
      <w:pPr>
        <w:pStyle w:val="null3"/>
        <w:ind w:firstLine="480"/>
      </w:pPr>
      <w:r>
        <w:rPr/>
        <w:t>在中华人民共和国境内依法设立，依据国务院批准的中小企业划分标准确定的小型企业和微型企业，但与大企业的负责人为同一人，或者与大企业存在直接控股、管理关系的除外。</w:t>
      </w:r>
    </w:p>
    <w:p>
      <w:pPr>
        <w:pStyle w:val="null3"/>
        <w:ind w:firstLine="480"/>
      </w:pPr>
      <w:r>
        <w:rPr/>
        <w:t>符合中小企业划分标准的个体工商户，在政府采购活动中视同中小企业。</w:t>
      </w:r>
    </w:p>
    <w:p>
      <w:pPr>
        <w:pStyle w:val="null3"/>
        <w:ind w:firstLine="480"/>
      </w:pPr>
      <w:r>
        <w:rPr/>
        <w:t>提供本企业（属于小微企业）制造的货物或者提供其他小型或微型企业制造的货物/提供本企业（属于小微企业）承接的服务。</w:t>
      </w:r>
    </w:p>
    <w:p>
      <w:pPr>
        <w:pStyle w:val="null3"/>
        <w:ind w:firstLine="480"/>
      </w:pPr>
      <w:r>
        <w:rPr/>
        <w:t xml:space="preserve"> （2）符合中小企业扶持政策的投标人应填写《中小企业声明函》；监狱企业须投标人提供由监狱管理局、戒毒管理局（含新疆生产建设兵团）出具的属于监狱企业的证明文件；残疾人福利性单位应填写《残疾人福利性单位声明函》，否则不认定价格扣除。</w:t>
      </w:r>
    </w:p>
    <w:p>
      <w:pPr>
        <w:pStyle w:val="null3"/>
        <w:ind w:firstLine="480"/>
      </w:pPr>
      <w:r>
        <w:rPr/>
        <w:t>说明：投标人应当对其出具的《中小企业声明函》真实性负责，投标人出具的《中小企业声明函》内容不实的，属于提供虚假材料谋取中标。</w:t>
      </w:r>
    </w:p>
    <w:p>
      <w:pPr>
        <w:pStyle w:val="null3"/>
        <w:ind w:firstLine="480"/>
      </w:pPr>
      <w:r>
        <w:rPr/>
        <w:t xml:space="preserve"> （3）投标（响应）供应商统一在一份《中小企业声明函》中说明联合体各方的中小微情况：包括联合体各方均为小型、微型企业的，及中小微企业作为联合体一方参与政府采购活动，且共同投标协议书中约定，小型、微型企业的协议合同金额占到联合体协议合同总金额30%以上的。</w:t>
      </w:r>
    </w:p>
    <w:p>
      <w:pPr>
        <w:pStyle w:val="null3"/>
        <w:outlineLvl w:val="2"/>
      </w:pPr>
      <w:r>
        <w:rPr>
          <w:sz w:val="28"/>
          <w:b/>
        </w:rPr>
        <w:t>三、评审程序</w:t>
      </w:r>
    </w:p>
    <w:p>
      <w:pPr>
        <w:pStyle w:val="null3"/>
        <w:outlineLvl w:val="3"/>
      </w:pPr>
      <w:r>
        <w:rPr>
          <w:sz w:val="24"/>
          <w:b/>
        </w:rPr>
        <w:t>1.资格性审查和符合性审查</w:t>
      </w:r>
    </w:p>
    <w:p>
      <w:pPr>
        <w:pStyle w:val="null3"/>
        <w:ind w:firstLine="480"/>
      </w:pPr>
      <w:r>
        <w:rPr/>
        <w:t>资格性审查。公开招标采购项目开标结束后，采购人或采购代理机构应当依法对投标人的资格进行审查，以确定投标人是否具备投标资格。（详见后附表一资格性审查表）</w:t>
      </w:r>
    </w:p>
    <w:p>
      <w:pPr>
        <w:pStyle w:val="null3"/>
        <w:ind w:firstLine="480"/>
      </w:pPr>
      <w:r>
        <w:rPr/>
        <w:t>符合性审查。评标委员会依据招标文件的规定，从投标文件的有效性、完整性和对招标文件的响应程度进行审查，以确定是否对招标文件的实质性要求作出响应。（详见后附表二符合性审查表）</w:t>
      </w:r>
    </w:p>
    <w:p>
      <w:pPr>
        <w:pStyle w:val="null3"/>
        <w:ind w:firstLine="480"/>
      </w:pPr>
      <w:r>
        <w:rPr/>
        <w:t>资格性审查和符合性审查中凡有其中任意一项未通过的，评审结果为未通过，未通过资格性审查、符合性审查的投标人按无效投标处理。</w:t>
      </w:r>
    </w:p>
    <w:p>
      <w:pPr>
        <w:pStyle w:val="null3"/>
        <w:ind w:firstLine="480"/>
      </w:pPr>
      <w:r>
        <w:rPr/>
        <w:t>对各投标人进行资格审查和符合性审查过程中，对初步被认定为无效投标者，由评标委员会组长或采购人代表将集体意见及时告知投标当事人。</w:t>
      </w:r>
    </w:p>
    <w:p>
      <w:pPr>
        <w:pStyle w:val="null3"/>
        <w:ind w:firstLine="480"/>
      </w:pPr>
      <w:r>
        <w:rPr/>
        <w:t xml:space="preserve">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null3"/>
        <w:ind w:firstLine="480"/>
      </w:pPr>
      <w:r>
        <w:rPr/>
        <w:t>合格投标人不足3家的，不得评标。</w:t>
      </w:r>
    </w:p>
    <w:p>
      <w:pPr>
        <w:pStyle w:val="null3"/>
        <w:ind w:firstLine="480"/>
      </w:pPr>
      <w:r>
        <w:rPr/>
        <w:t>表一资格性审查表：</w:t>
      </w:r>
    </w:p>
    <w:p>
      <w:pPr>
        <w:pStyle w:val="null3"/>
      </w:pPr>
      <w:r>
        <w:rPr/>
        <w:t>采购包1（广东交通职业技术学院智慧校园综合服务平台三期建设）：</w:t>
      </w:r>
    </w:p>
    <w:tbl>
      <w:tblPr>
        <w:tblW w:w="0" w:type="auto"/>
        <w:tblBorders>
          <w:top w:val="single"/>
          <w:left w:val="single"/>
          <w:bottom w:val="single"/>
          <w:right w:val="single"/>
          <w:insideH w:val="single"/>
          <w:insideV w:val="single"/>
        </w:tblBorders>
      </w:tblPr>
      <w:tblGrid>
        <w:gridCol w:w="890"/>
        <w:gridCol w:w="3178"/>
        <w:gridCol w:w="4238"/>
      </w:tblGrid>
      <w:tr>
        <w:tc>
          <w:tcPr>
            <w:tcW w:type="dxa" w:w="890"/>
          </w:tcPr>
          <w:p>
            <w:pPr>
              <w:pStyle w:val="null3"/>
            </w:pPr>
            <w:r>
              <w:rPr/>
              <w:t xml:space="preserve"> 序号</w:t>
            </w:r>
          </w:p>
        </w:tc>
        <w:tc>
          <w:tcPr>
            <w:tcW w:type="dxa" w:w="7416"/>
            <w:gridSpan w:val="2"/>
          </w:tcPr>
          <w:p>
            <w:pPr>
              <w:pStyle w:val="null3"/>
            </w:pPr>
            <w:r>
              <w:rPr/>
              <w:t xml:space="preserve"> 资格审查内容</w:t>
            </w:r>
          </w:p>
        </w:tc>
      </w:tr>
      <w:tr>
        <w:tc>
          <w:tcPr>
            <w:tcW w:type="dxa" w:w="890"/>
          </w:tcPr>
          <w:p>
            <w:pPr>
              <w:pStyle w:val="null3"/>
            </w:pPr>
            <w:r>
              <w:rPr/>
              <w:t>1</w:t>
            </w:r>
          </w:p>
        </w:tc>
        <w:tc>
          <w:tcPr>
            <w:tcW w:type="dxa" w:w="3178"/>
          </w:tcPr>
          <w:p>
            <w:pPr>
              <w:pStyle w:val="null3"/>
            </w:pPr>
            <w:r>
              <w:rPr/>
              <w:t>具有独立承担民事责任的能力</w:t>
            </w:r>
          </w:p>
        </w:tc>
        <w:tc>
          <w:tcPr>
            <w:tcW w:type="dxa" w:w="4238"/>
          </w:tcPr>
          <w:p>
            <w:pPr>
              <w:pStyle w:val="null3"/>
            </w:pPr>
            <w:r>
              <w:rPr/>
              <w:t>是在中华人民共和国境内注册的法人或其他组织或自然人，投标时提交有效的营业执照（或事业法人登记证或社会团体登记证或民办非企业单位登记证或身份证等相关证明）副本复印件。（如国家另有规定的，则从其规定。如供应商为分支机构，须取得具有法人资格的总公司（总所）出具给分支机构的授权书，并提供总公司（总所）和分支机构的营业执照（执业许可证）复印件；已由总公司（总所）授权的，总公司（总所）取得的相关资质证书对分支机构有效，法律法规或者行业另有规定的除外）</w:t>
            </w:r>
          </w:p>
        </w:tc>
      </w:tr>
      <w:tr>
        <w:tc>
          <w:tcPr>
            <w:tcW w:type="dxa" w:w="890"/>
          </w:tcPr>
          <w:p>
            <w:pPr>
              <w:pStyle w:val="null3"/>
            </w:pPr>
            <w:r>
              <w:rPr/>
              <w:t>2</w:t>
            </w:r>
          </w:p>
        </w:tc>
        <w:tc>
          <w:tcPr>
            <w:tcW w:type="dxa" w:w="3178"/>
          </w:tcPr>
          <w:p>
            <w:pPr>
              <w:pStyle w:val="null3"/>
            </w:pPr>
            <w:r>
              <w:rPr/>
              <w:t>有依法缴纳税收和社会保障资金的良好记录</w:t>
            </w:r>
          </w:p>
        </w:tc>
        <w:tc>
          <w:tcPr>
            <w:tcW w:type="dxa" w:w="4238"/>
          </w:tcPr>
          <w:p>
            <w:pPr>
              <w:pStyle w:val="null3"/>
            </w:pPr>
            <w:r>
              <w:rPr/>
              <w:t>提供书面声明。</w:t>
            </w:r>
          </w:p>
        </w:tc>
      </w:tr>
      <w:tr>
        <w:tc>
          <w:tcPr>
            <w:tcW w:type="dxa" w:w="890"/>
          </w:tcPr>
          <w:p>
            <w:pPr>
              <w:pStyle w:val="null3"/>
            </w:pPr>
            <w:r>
              <w:rPr/>
              <w:t>3</w:t>
            </w:r>
          </w:p>
        </w:tc>
        <w:tc>
          <w:tcPr>
            <w:tcW w:type="dxa" w:w="3178"/>
          </w:tcPr>
          <w:p>
            <w:pPr>
              <w:pStyle w:val="null3"/>
            </w:pPr>
            <w:r>
              <w:rPr/>
              <w:t>具有良好的商业信誉和健全的财务会计制度</w:t>
            </w:r>
          </w:p>
        </w:tc>
        <w:tc>
          <w:tcPr>
            <w:tcW w:type="dxa" w:w="4238"/>
          </w:tcPr>
          <w:p>
            <w:pPr>
              <w:pStyle w:val="null3"/>
            </w:pPr>
            <w:r>
              <w:rPr/>
              <w:t>提供书面声明。</w:t>
            </w:r>
          </w:p>
        </w:tc>
      </w:tr>
      <w:tr>
        <w:tc>
          <w:tcPr>
            <w:tcW w:type="dxa" w:w="890"/>
          </w:tcPr>
          <w:p>
            <w:pPr>
              <w:pStyle w:val="null3"/>
            </w:pPr>
            <w:r>
              <w:rPr/>
              <w:t>4</w:t>
            </w:r>
          </w:p>
        </w:tc>
        <w:tc>
          <w:tcPr>
            <w:tcW w:type="dxa" w:w="3178"/>
          </w:tcPr>
          <w:p>
            <w:pPr>
              <w:pStyle w:val="null3"/>
            </w:pPr>
            <w:r>
              <w:rPr/>
              <w:t>履行合同所必需的设备和专业技术能力</w:t>
            </w:r>
          </w:p>
        </w:tc>
        <w:tc>
          <w:tcPr>
            <w:tcW w:type="dxa" w:w="4238"/>
          </w:tcPr>
          <w:p>
            <w:pPr>
              <w:pStyle w:val="null3"/>
            </w:pPr>
            <w:r>
              <w:rPr/>
              <w:t>提供书面声明。</w:t>
            </w:r>
          </w:p>
        </w:tc>
      </w:tr>
      <w:tr>
        <w:tc>
          <w:tcPr>
            <w:tcW w:type="dxa" w:w="890"/>
          </w:tcPr>
          <w:p>
            <w:pPr>
              <w:pStyle w:val="null3"/>
            </w:pPr>
            <w:r>
              <w:rPr/>
              <w:t>5</w:t>
            </w:r>
          </w:p>
        </w:tc>
        <w:tc>
          <w:tcPr>
            <w:tcW w:type="dxa" w:w="3178"/>
          </w:tcPr>
          <w:p>
            <w:pPr>
              <w:pStyle w:val="null3"/>
            </w:pPr>
            <w:r>
              <w:rPr/>
              <w:t>参加采购活动前3年内，在经营活动中没有重大违法记录</w:t>
            </w:r>
          </w:p>
        </w:tc>
        <w:tc>
          <w:tcPr>
            <w:tcW w:type="dxa" w:w="4238"/>
          </w:tcPr>
          <w:p>
            <w:pPr>
              <w:pStyle w:val="null3"/>
            </w:pPr>
            <w:r>
              <w:rPr/>
              <w:t>参照投标（报价）函相关承诺格式内容。 重大违法记录，是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tc>
      </w:tr>
      <w:tr>
        <w:tc>
          <w:tcPr>
            <w:tcW w:type="dxa" w:w="890"/>
          </w:tcPr>
          <w:p>
            <w:pPr>
              <w:pStyle w:val="null3"/>
            </w:pPr>
            <w:r>
              <w:rPr/>
              <w:t>6</w:t>
            </w:r>
          </w:p>
        </w:tc>
        <w:tc>
          <w:tcPr>
            <w:tcW w:type="dxa" w:w="3178"/>
          </w:tcPr>
          <w:p>
            <w:pPr>
              <w:pStyle w:val="null3"/>
            </w:pPr>
            <w:r>
              <w:rPr/>
              <w:t>信用记录</w:t>
            </w:r>
          </w:p>
        </w:tc>
        <w:tc>
          <w:tcPr>
            <w:tcW w:type="dxa" w:w="4238"/>
          </w:tcPr>
          <w:p>
            <w:pPr>
              <w:pStyle w:val="null3"/>
            </w:pPr>
            <w:r>
              <w:rPr/>
              <w:t>供应商未被列入“信用中国”网站(www.creditchina.gov.cn)“记录失信被执行人或重大税收违法失信主体或政府采购严重违法失信行为”记录名单；不处于中国政府采购网(www.ccgp.gov.cn)“政府采购严重违法失信行为信息记录”中的禁止参加政府采购活动期间。（以采购代理机构于投标（响应）截止时间当天在“信用中国”网站（www.creditchina.gov.cn）及中国政府采购网（http：//www.ccgp.gov.cn/）查询结果为准，如相关失信记录已失效，供应商需提供相关证明资料）。</w:t>
            </w:r>
          </w:p>
        </w:tc>
      </w:tr>
      <w:tr>
        <w:tc>
          <w:tcPr>
            <w:tcW w:type="dxa" w:w="890"/>
          </w:tcPr>
          <w:p>
            <w:pPr>
              <w:pStyle w:val="null3"/>
            </w:pPr>
            <w:r>
              <w:rPr/>
              <w:t>7</w:t>
            </w:r>
          </w:p>
        </w:tc>
        <w:tc>
          <w:tcPr>
            <w:tcW w:type="dxa" w:w="3178"/>
          </w:tcPr>
          <w:p>
            <w:pPr>
              <w:pStyle w:val="null3"/>
            </w:pPr>
            <w:r>
              <w:rPr/>
              <w:t>供应商必须符合法律、行政法规规定的其他条件</w:t>
            </w:r>
          </w:p>
        </w:tc>
        <w:tc>
          <w:tcPr>
            <w:tcW w:type="dxa" w:w="4238"/>
          </w:tcPr>
          <w:p>
            <w:pPr>
              <w:pStyle w:val="null3"/>
            </w:pPr>
            <w:r>
              <w:rPr/>
              <w:t>单位负责人为同一人或者存在直接控股、 管理关系的不同供应商，不得同时参加本采购项目（或采购包） 投标（响应）。 为本项目提供整体设计、 规范编制或者项目管理、 监理、 检测等服务的供应商， 不得再参与本项目投标（响应）。 投标（报价） 函相关承诺要求内容。</w:t>
            </w:r>
          </w:p>
        </w:tc>
      </w:tr>
      <w:tr>
        <w:tc>
          <w:tcPr>
            <w:tcW w:type="dxa" w:w="890"/>
          </w:tcPr>
          <w:p>
            <w:pPr>
              <w:pStyle w:val="null3"/>
            </w:pPr>
            <w:r>
              <w:rPr/>
              <w:t>8</w:t>
            </w:r>
          </w:p>
        </w:tc>
        <w:tc>
          <w:tcPr>
            <w:tcW w:type="dxa" w:w="3178"/>
          </w:tcPr>
          <w:p>
            <w:pPr>
              <w:pStyle w:val="null3"/>
            </w:pPr>
            <w:r>
              <w:rPr/>
              <w:t>采购包1（智慧校园综合服务平台三期建设）</w:t>
            </w:r>
          </w:p>
        </w:tc>
        <w:tc>
          <w:tcPr>
            <w:tcW w:type="dxa" w:w="4238"/>
          </w:tcPr>
          <w:p>
            <w:pPr>
              <w:pStyle w:val="null3"/>
            </w:pPr>
            <w:r>
              <w:rPr/>
              <w:t>本项目不属于专门面向中小企业采购。</w:t>
            </w:r>
          </w:p>
        </w:tc>
      </w:tr>
    </w:tbl>
    <w:p>
      <w:pPr>
        <w:pStyle w:val="null3"/>
        <w:ind w:firstLine="480"/>
      </w:pPr>
      <w:r>
        <w:rPr/>
        <w:t>表二符合性审查表：</w:t>
      </w:r>
    </w:p>
    <w:p>
      <w:pPr>
        <w:pStyle w:val="null3"/>
      </w:pPr>
      <w:r>
        <w:rPr/>
        <w:t>采购包1（广东交通职业技术学院智慧校园综合服务平台三期建设）：</w:t>
      </w:r>
    </w:p>
    <w:tbl>
      <w:tblPr>
        <w:tblW w:w="0" w:type="auto"/>
        <w:tblBorders>
          <w:top w:val="single"/>
          <w:left w:val="single"/>
          <w:bottom w:val="single"/>
          <w:right w:val="single"/>
          <w:insideH w:val="single"/>
          <w:insideV w:val="single"/>
        </w:tblBorders>
      </w:tblPr>
      <w:tblGrid>
        <w:gridCol w:w="890"/>
        <w:gridCol w:w="3178"/>
        <w:gridCol w:w="4238"/>
      </w:tblGrid>
      <w:tr>
        <w:tc>
          <w:tcPr>
            <w:tcW w:type="dxa" w:w="890"/>
          </w:tcPr>
          <w:p>
            <w:pPr>
              <w:pStyle w:val="null3"/>
            </w:pPr>
            <w:r>
              <w:rPr/>
              <w:t xml:space="preserve"> 序号</w:t>
            </w:r>
          </w:p>
        </w:tc>
        <w:tc>
          <w:tcPr>
            <w:tcW w:type="dxa" w:w="3178"/>
          </w:tcPr>
          <w:p>
            <w:pPr>
              <w:pStyle w:val="null3"/>
            </w:pPr>
            <w:r>
              <w:rPr/>
              <w:t xml:space="preserve"> 评审点要求概况</w:t>
            </w:r>
          </w:p>
        </w:tc>
        <w:tc>
          <w:tcPr>
            <w:tcW w:type="dxa" w:w="4238"/>
          </w:tcPr>
          <w:p>
            <w:pPr>
              <w:pStyle w:val="null3"/>
            </w:pPr>
            <w:r>
              <w:rPr/>
              <w:t xml:space="preserve"> 评审点具体描述</w:t>
            </w:r>
          </w:p>
        </w:tc>
      </w:tr>
      <w:tr>
        <w:tc>
          <w:tcPr>
            <w:tcW w:type="dxa" w:w="890"/>
          </w:tcPr>
          <w:p>
            <w:pPr>
              <w:pStyle w:val="null3"/>
            </w:pPr>
            <w:r>
              <w:rPr/>
              <w:t>1</w:t>
            </w:r>
          </w:p>
        </w:tc>
        <w:tc>
          <w:tcPr>
            <w:tcW w:type="dxa" w:w="3178"/>
          </w:tcPr>
          <w:p>
            <w:pPr>
              <w:pStyle w:val="null3"/>
            </w:pPr>
            <w:r>
              <w:rPr/>
              <w:t>投标函</w:t>
            </w:r>
          </w:p>
        </w:tc>
        <w:tc>
          <w:tcPr>
            <w:tcW w:type="dxa" w:w="4238"/>
          </w:tcPr>
          <w:p>
            <w:pPr>
              <w:pStyle w:val="null3"/>
            </w:pPr>
            <w:r>
              <w:rPr/>
              <w:t>按对应格式文件填写、签署、盖章。</w:t>
            </w:r>
          </w:p>
        </w:tc>
      </w:tr>
      <w:tr>
        <w:tc>
          <w:tcPr>
            <w:tcW w:type="dxa" w:w="890"/>
          </w:tcPr>
          <w:p>
            <w:pPr>
              <w:pStyle w:val="null3"/>
            </w:pPr>
            <w:r>
              <w:rPr/>
              <w:t>2</w:t>
            </w:r>
          </w:p>
        </w:tc>
        <w:tc>
          <w:tcPr>
            <w:tcW w:type="dxa" w:w="3178"/>
          </w:tcPr>
          <w:p>
            <w:pPr>
              <w:pStyle w:val="null3"/>
            </w:pPr>
            <w:r>
              <w:rPr/>
              <w:t>法定代表人证明书或授权委托书</w:t>
            </w:r>
          </w:p>
        </w:tc>
        <w:tc>
          <w:tcPr>
            <w:tcW w:type="dxa" w:w="4238"/>
          </w:tcPr>
          <w:p>
            <w:pPr>
              <w:pStyle w:val="null3"/>
            </w:pPr>
            <w:r>
              <w:rPr/>
              <w:t>按对应格式文件签署、盖章。</w:t>
            </w:r>
          </w:p>
        </w:tc>
      </w:tr>
      <w:tr>
        <w:tc>
          <w:tcPr>
            <w:tcW w:type="dxa" w:w="890"/>
          </w:tcPr>
          <w:p>
            <w:pPr>
              <w:pStyle w:val="null3"/>
            </w:pPr>
            <w:r>
              <w:rPr/>
              <w:t>3</w:t>
            </w:r>
          </w:p>
        </w:tc>
        <w:tc>
          <w:tcPr>
            <w:tcW w:type="dxa" w:w="3178"/>
          </w:tcPr>
          <w:p>
            <w:pPr>
              <w:pStyle w:val="null3"/>
            </w:pPr>
            <w:r>
              <w:rPr/>
              <w:t>报价要求</w:t>
            </w:r>
          </w:p>
        </w:tc>
        <w:tc>
          <w:tcPr>
            <w:tcW w:type="dxa" w:w="4238"/>
          </w:tcPr>
          <w:p>
            <w:pPr>
              <w:pStyle w:val="null3"/>
            </w:pPr>
            <w:r>
              <w:rPr/>
              <w:t>投标报价是固定价且是唯一的，投标单价和投标总价未超出最高限价。</w:t>
            </w:r>
          </w:p>
        </w:tc>
      </w:tr>
      <w:tr>
        <w:tc>
          <w:tcPr>
            <w:tcW w:type="dxa" w:w="890"/>
          </w:tcPr>
          <w:p>
            <w:pPr>
              <w:pStyle w:val="null3"/>
            </w:pPr>
            <w:r>
              <w:rPr/>
              <w:t>4</w:t>
            </w:r>
          </w:p>
        </w:tc>
        <w:tc>
          <w:tcPr>
            <w:tcW w:type="dxa" w:w="3178"/>
          </w:tcPr>
          <w:p>
            <w:pPr>
              <w:pStyle w:val="null3"/>
            </w:pPr>
            <w:r>
              <w:rPr/>
              <w:t>采购代理服务费支付承诺书</w:t>
            </w:r>
          </w:p>
        </w:tc>
        <w:tc>
          <w:tcPr>
            <w:tcW w:type="dxa" w:w="4238"/>
          </w:tcPr>
          <w:p>
            <w:pPr>
              <w:pStyle w:val="null3"/>
            </w:pPr>
            <w:r>
              <w:rPr/>
              <w:t>已按招标文件要求提交采购代理服务费支付承诺书。</w:t>
            </w:r>
          </w:p>
        </w:tc>
      </w:tr>
      <w:tr>
        <w:tc>
          <w:tcPr>
            <w:tcW w:type="dxa" w:w="890"/>
          </w:tcPr>
          <w:p>
            <w:pPr>
              <w:pStyle w:val="null3"/>
            </w:pPr>
            <w:r>
              <w:rPr/>
              <w:t>5</w:t>
            </w:r>
          </w:p>
        </w:tc>
        <w:tc>
          <w:tcPr>
            <w:tcW w:type="dxa" w:w="3178"/>
          </w:tcPr>
          <w:p>
            <w:pPr>
              <w:pStyle w:val="null3"/>
            </w:pPr>
            <w:r>
              <w:rPr/>
              <w:t>带★条款</w:t>
            </w:r>
          </w:p>
        </w:tc>
        <w:tc>
          <w:tcPr>
            <w:tcW w:type="dxa" w:w="4238"/>
          </w:tcPr>
          <w:p>
            <w:pPr>
              <w:pStyle w:val="null3"/>
            </w:pPr>
            <w:r>
              <w:rPr/>
              <w:t>满足招标文件要求。</w:t>
            </w:r>
          </w:p>
        </w:tc>
      </w:tr>
      <w:tr>
        <w:tc>
          <w:tcPr>
            <w:tcW w:type="dxa" w:w="890"/>
          </w:tcPr>
          <w:p>
            <w:pPr>
              <w:pStyle w:val="null3"/>
            </w:pPr>
            <w:r>
              <w:rPr/>
              <w:t>6</w:t>
            </w:r>
          </w:p>
        </w:tc>
        <w:tc>
          <w:tcPr>
            <w:tcW w:type="dxa" w:w="3178"/>
          </w:tcPr>
          <w:p>
            <w:pPr>
              <w:pStyle w:val="null3"/>
            </w:pPr>
            <w:r>
              <w:rPr/>
              <w:t>其他</w:t>
            </w:r>
          </w:p>
        </w:tc>
        <w:tc>
          <w:tcPr>
            <w:tcW w:type="dxa" w:w="4238"/>
          </w:tcPr>
          <w:p>
            <w:pPr>
              <w:pStyle w:val="null3"/>
            </w:pPr>
            <w:r>
              <w:rPr/>
              <w:t>法律、法规和招标文件规定的其他投标无效情形。</w:t>
            </w:r>
          </w:p>
        </w:tc>
      </w:tr>
    </w:tbl>
    <w:p>
      <w:pPr>
        <w:pStyle w:val="null3"/>
        <w:outlineLvl w:val="3"/>
      </w:pPr>
      <w:r>
        <w:rPr>
          <w:sz w:val="24"/>
          <w:b/>
        </w:rPr>
        <w:t>2.投标文件澄清</w:t>
      </w:r>
    </w:p>
    <w:p>
      <w:pPr>
        <w:pStyle w:val="null3"/>
        <w:ind w:firstLine="480"/>
      </w:pPr>
      <w:r>
        <w:rPr/>
        <w:t xml:space="preserve"> 2.1对于投标文件中含义不明确、同类问题表述不一致或者有明显文字和计算错误的内容，评标委员会应当在评审过程中发起在线澄清，要求投标人针对价格或内容做出必要的澄清、说明或补正。代理机构可根据开标环节记录的授权代表人联系方式发送短信提醒或电话告知。</w:t>
      </w:r>
    </w:p>
    <w:p>
      <w:pPr>
        <w:pStyle w:val="null3"/>
        <w:ind w:firstLine="480"/>
      </w:pPr>
      <w:r>
        <w:rPr/>
        <w:t>投标人需登录广东政府采购智慧云平台项目采购系统的等候大厅，在规定时间内完成澄清（响应），并加盖电子印章。</w:t>
      </w:r>
    </w:p>
    <w:p>
      <w:pPr>
        <w:pStyle w:val="null3"/>
        <w:ind w:firstLine="480"/>
      </w:pPr>
      <w:r>
        <w:rPr/>
        <w:t>若因投标人联系方式错误未接收短信、未接听电话或超时未进行澄清（响应）造成的不利后果由供应商自行承担。投标人的澄清、说明或者补正不得超出投标文件的范围或者改变投标文件的实质性内容。</w:t>
      </w:r>
    </w:p>
    <w:p>
      <w:pPr>
        <w:pStyle w:val="null3"/>
        <w:ind w:firstLine="480"/>
      </w:pPr>
      <w:r>
        <w:rPr/>
        <w:t>2.2评标委员会不接受投标人主动提出的澄清、说明或补正。</w:t>
      </w:r>
    </w:p>
    <w:p>
      <w:pPr>
        <w:pStyle w:val="null3"/>
        <w:ind w:firstLine="480"/>
      </w:pPr>
      <w:r>
        <w:rPr/>
        <w:t>2.3评标委员会对投标人提交的澄清、说明或补正有疑问的，可以要求投标人进一步澄清、说明或补正。</w:t>
      </w:r>
    </w:p>
    <w:p>
      <w:pPr>
        <w:pStyle w:val="null3"/>
        <w:outlineLvl w:val="3"/>
      </w:pPr>
      <w:r>
        <w:rPr>
          <w:sz w:val="24"/>
          <w:b/>
        </w:rPr>
        <w:t>3.详细评审</w:t>
      </w:r>
    </w:p>
    <w:p>
      <w:pPr>
        <w:pStyle w:val="null3"/>
      </w:pPr>
      <w:r>
        <w:rPr/>
        <w:t>采购包1(广东交通职业技术学院智慧校园综合服务平台三期建设):</w:t>
      </w:r>
    </w:p>
    <w:tbl>
      <w:tblPr>
        <w:tblW w:w="0" w:type="auto"/>
        <w:tblBorders>
          <w:top w:val="single"/>
          <w:left w:val="single"/>
          <w:bottom w:val="single"/>
          <w:right w:val="single"/>
          <w:insideH w:val="single"/>
          <w:insideV w:val="single"/>
        </w:tblBorders>
      </w:tblPr>
      <w:tblGrid>
        <w:gridCol w:w="461"/>
        <w:gridCol w:w="461"/>
        <w:gridCol w:w="2307"/>
        <w:gridCol w:w="5076"/>
      </w:tblGrid>
      <w:tr>
        <w:tc>
          <w:tcPr>
            <w:tcW w:type="dxa" w:w="922"/>
            <w:gridSpan w:val="2"/>
          </w:tcPr>
          <w:p>
            <w:pPr>
              <w:pStyle w:val="null3"/>
              <w:jc w:val="center"/>
            </w:pPr>
            <w:r>
              <w:rPr/>
              <w:t>评审因素</w:t>
            </w:r>
          </w:p>
        </w:tc>
        <w:tc>
          <w:tcPr>
            <w:tcW w:type="dxa" w:w="7383"/>
            <w:gridSpan w:val="2"/>
          </w:tcPr>
          <w:p>
            <w:pPr>
              <w:pStyle w:val="null3"/>
              <w:jc w:val="center"/>
            </w:pPr>
            <w:r>
              <w:rPr/>
              <w:t>评审标准</w:t>
            </w:r>
          </w:p>
        </w:tc>
      </w:tr>
      <w:tr>
        <w:tc>
          <w:tcPr>
            <w:tcW w:type="dxa" w:w="922"/>
            <w:gridSpan w:val="2"/>
          </w:tcPr>
          <w:p>
            <w:pPr>
              <w:pStyle w:val="null3"/>
              <w:jc w:val="center"/>
            </w:pPr>
            <w:r>
              <w:rPr/>
              <w:t>分值构成</w:t>
            </w:r>
          </w:p>
        </w:tc>
        <w:tc>
          <w:tcPr>
            <w:tcW w:type="dxa" w:w="7383"/>
            <w:gridSpan w:val="2"/>
          </w:tcPr>
          <w:p>
            <w:pPr>
              <w:pStyle w:val="null3"/>
            </w:pPr>
            <w:r>
              <w:rPr/>
              <w:t>商务部分20.0分</w:t>
            </w:r>
          </w:p>
          <w:p>
            <w:pPr>
              <w:pStyle w:val="null3"/>
            </w:pPr>
            <w:r>
              <w:rPr/>
              <w:t>技术部分50.0分</w:t>
            </w:r>
          </w:p>
          <w:p>
            <w:pPr>
              <w:pStyle w:val="null3"/>
            </w:pPr>
            <w:r>
              <w:rPr/>
              <w:t>报价得分30.0分</w:t>
            </w:r>
          </w:p>
        </w:tc>
      </w:tr>
      <w:tr>
        <w:tc>
          <w:tcPr>
            <w:tcW w:type="dxa" w:w="922"/>
            <w:gridSpan w:val="2"/>
            <w:vMerge w:val="restart"/>
          </w:tcPr>
          <w:p>
            <w:pPr>
              <w:pStyle w:val="null3"/>
              <w:jc w:val="center"/>
            </w:pPr>
            <w:r>
              <w:rPr/>
              <w:t>技术部分</w:t>
            </w:r>
          </w:p>
        </w:tc>
        <w:tc>
          <w:tcPr>
            <w:tcW w:type="dxa" w:w="2307"/>
          </w:tcPr>
          <w:p>
            <w:pPr>
              <w:pStyle w:val="null3"/>
              <w:jc w:val="left"/>
            </w:pPr>
            <w:r>
              <w:rPr/>
              <w:t>技术条款响应情况 (30.0分)</w:t>
            </w:r>
          </w:p>
        </w:tc>
        <w:tc>
          <w:tcPr>
            <w:tcW w:type="dxa" w:w="5076"/>
          </w:tcPr>
          <w:p>
            <w:pPr>
              <w:pStyle w:val="null3"/>
              <w:jc w:val="left"/>
            </w:pPr>
            <w:r>
              <w:rPr/>
              <w:t>除演示内容外，对采购需求项目总体要求和技术标准与要求中技术参数的响应情况进行评审： 1.标识“▲”的技术参数条款总分为20分，每负偏离一项扣2分，负偏离达到5项或以上，视为重大偏离，本小项不得分； 2.非标识“▲”的技术参数条款总分为10分，每负偏离一项扣0.5分，负偏离达到10项或以上，视为重大偏离，本小项不得分； 【备注：如采购需求中有明确提供的证明资料的，则以采购需求中要求的为准，如采购需求中无明确证明材料的，则以投标人提供的《技术和服务要求响应表》的响应情况进行评审。】</w:t>
            </w:r>
          </w:p>
        </w:tc>
      </w:tr>
      <w:tr>
        <w:tc>
          <w:tcPr>
            <w:tcW w:type="dxa" w:w="922"/>
            <w:gridSpan w:val="2"/>
            <w:vMerge/>
          </w:tcPr>
          <w:p/>
        </w:tc>
        <w:tc>
          <w:tcPr>
            <w:tcW w:type="dxa" w:w="2307"/>
          </w:tcPr>
          <w:p>
            <w:pPr>
              <w:pStyle w:val="null3"/>
              <w:jc w:val="left"/>
            </w:pPr>
            <w:r>
              <w:rPr/>
              <w:t>项目整体技术方案 (6.0分)</w:t>
            </w:r>
          </w:p>
        </w:tc>
        <w:tc>
          <w:tcPr>
            <w:tcW w:type="dxa" w:w="5076"/>
          </w:tcPr>
          <w:p>
            <w:pPr>
              <w:pStyle w:val="null3"/>
              <w:jc w:val="left"/>
            </w:pPr>
            <w:r>
              <w:rPr/>
              <w:t>投标人根据本项目采购需求制定的“项目整体技术方案”进行评审：1.提供的项目总体设计方案包括微服务设计思路、整体技术架构、技术路线及开发工具、设计原则、设计思路、软件系统测试方案（自测、验收测试、测试方案）。每项得0.5分，得3分，未提供不得分。2.针对投标人对本项目提供的上述方案内容进行评审：方案内容针对性强且优于采购需求，得3分；方案内容针对性较强且完全满足采购需求，得2分；方案内容针对性一般或仅部分满足采购需求，得1分；其他情况或无响应者，得0分。</w:t>
            </w:r>
          </w:p>
        </w:tc>
      </w:tr>
      <w:tr>
        <w:tc>
          <w:tcPr>
            <w:tcW w:type="dxa" w:w="922"/>
            <w:gridSpan w:val="2"/>
            <w:vMerge/>
          </w:tcPr>
          <w:p/>
        </w:tc>
        <w:tc>
          <w:tcPr>
            <w:tcW w:type="dxa" w:w="2307"/>
          </w:tcPr>
          <w:p>
            <w:pPr>
              <w:pStyle w:val="null3"/>
              <w:jc w:val="left"/>
            </w:pPr>
            <w:r>
              <w:rPr/>
              <w:t>项目实施方案 (6.0分)</w:t>
            </w:r>
          </w:p>
        </w:tc>
        <w:tc>
          <w:tcPr>
            <w:tcW w:type="dxa" w:w="5076"/>
          </w:tcPr>
          <w:p>
            <w:pPr>
              <w:pStyle w:val="null3"/>
              <w:jc w:val="left"/>
            </w:pPr>
            <w:r>
              <w:rPr/>
              <w:t>投标人根据本项目采购需求制定的“项目实施方案”进行评审：1.提供的项目实施方案包括需求分析阶段、系统配置、系统集成实施准备阶段、系统部署阶段、系统试运行阶段，每项得0.6分，最高得3分，未提供不得分。2.针对供应商对本项目提供的上述内容的进度计划、工作安排、质量保障措施进行评审：方案内容针对性强且优于采购需求，得3分；方案内容针对性较强且完全满足采购需求，得2分；方案内容针对性一般或仅部分满足采购需求，得1分；其他情况或无响应者，得0分。</w:t>
            </w:r>
          </w:p>
        </w:tc>
      </w:tr>
      <w:tr>
        <w:tc>
          <w:tcPr>
            <w:tcW w:type="dxa" w:w="922"/>
            <w:gridSpan w:val="2"/>
            <w:vMerge/>
          </w:tcPr>
          <w:p/>
        </w:tc>
        <w:tc>
          <w:tcPr>
            <w:tcW w:type="dxa" w:w="2307"/>
          </w:tcPr>
          <w:p>
            <w:pPr>
              <w:pStyle w:val="null3"/>
              <w:jc w:val="left"/>
            </w:pPr>
            <w:r>
              <w:rPr/>
              <w:t>现场演示 (8.0分)</w:t>
            </w:r>
          </w:p>
        </w:tc>
        <w:tc>
          <w:tcPr>
            <w:tcW w:type="dxa" w:w="5076"/>
          </w:tcPr>
          <w:p>
            <w:pPr>
              <w:pStyle w:val="null3"/>
              <w:jc w:val="left"/>
            </w:pPr>
            <w:r>
              <w:rPr/>
              <w:t>具体演示要求如下： 演示点1: 支持新增自定义的元模型包与元模型属性。提供元模型属性的查询、增加、修改、删除等功能，可以改变属性的分类、解释、是否启用等配置项。通过元模型，可以灵活便捷地决定需要哪些与展示哪些元数据。 演示点2: 实现对标准进行自检。要求对信息标准进行必要的合法性校验外，比如非空、唯一、一致性、主键规则等。用户还可以根据具体需求自定义一些规则对信息标准进行额外的校验。校验完成后汇总校验结果形成异常报告，并提供便捷的信息标准规范手段。 演示点3: 支持版本对比。要求版本对比报告展示两个版本的信息标准数据量，小版本到大版本的数据变化量和字段、代码的具体变更情况。系统后台只能同时进行一个文档导出任务，如果已存在导出任务，会有提示信息。 演示点4： 支持勾选建好的模型表进行核验，核验数据库中的表结构与建模的表结构是否一致，不一致的可以修改，可以查看建表脚本。 演示点5: 支持查看数据湖、数据仓库、数据集市三层数据的统计信息。包括业务系统数、业务部门数、厂商数、表入湖率、数据表数、数据项数、数据量、容量等指标。 演示点6: 支持对全校数据资产进行编目。可以单个新增资产，也可以从元数据中批量新增、修改、删除数据资产。支持导出资产目录，支持批量设置来源部门、来源系统、共享等级、安全等级等资产属性。 演示点7： 对于数据表类型的资产，支持API、ETL、中间表、离线EXCEL、在线查询、实时订阅六种开放服务类型。对于文件类型的资产，支持文件预览、文件下载两种服务类型。 演示点8： 提供数据集模型的配置功能，系统已内置好教育部文件中所规定的数据集与数据标准。支持查询、新增、修改、删除数据目录、数据表或数据项，并展示相应记录。支持配置数据表的来源部门、填报人、是否开启数据复核等。支持配置数据项、是否主键、类型、长度、约束等。 共八项演示，每满足一项功能得1分，满分8分；以Word、PPT或图片、视频等非真实动态系统进行演示不得分，没有演示或演示不成功亦不得分。（演示时间不超过20分钟，演示人员不超过3人，其中1人必须为本项目授权代表。）</w:t>
            </w:r>
          </w:p>
        </w:tc>
      </w:tr>
      <w:tr>
        <w:tc>
          <w:tcPr>
            <w:tcW w:type="dxa" w:w="922"/>
            <w:gridSpan w:val="2"/>
            <w:vMerge w:val="restart"/>
          </w:tcPr>
          <w:p>
            <w:pPr>
              <w:pStyle w:val="null3"/>
              <w:jc w:val="center"/>
            </w:pPr>
            <w:r>
              <w:rPr/>
              <w:t>商务部分</w:t>
            </w:r>
          </w:p>
        </w:tc>
        <w:tc>
          <w:tcPr>
            <w:tcW w:type="dxa" w:w="2307"/>
          </w:tcPr>
          <w:p>
            <w:pPr>
              <w:pStyle w:val="null3"/>
              <w:jc w:val="left"/>
            </w:pPr>
            <w:r>
              <w:rPr/>
              <w:t>同类项目业绩 (4.0分)</w:t>
            </w:r>
          </w:p>
        </w:tc>
        <w:tc>
          <w:tcPr>
            <w:tcW w:type="dxa" w:w="5076"/>
          </w:tcPr>
          <w:p>
            <w:pPr>
              <w:pStyle w:val="null3"/>
              <w:jc w:val="left"/>
            </w:pPr>
            <w:r>
              <w:rPr/>
              <w:t>供应商自2022年1月1日至今(以合同生效时间为准)完成过同类项目业绩，每提供一个得0.5分，满分为4分，不提供得0分。【注：须同时提供合同及验收报告扫描件，未提供或不全不得分。】</w:t>
            </w:r>
          </w:p>
        </w:tc>
      </w:tr>
      <w:tr>
        <w:tc>
          <w:tcPr>
            <w:tcW w:type="dxa" w:w="922"/>
            <w:gridSpan w:val="2"/>
            <w:vMerge/>
          </w:tcPr>
          <w:p/>
        </w:tc>
        <w:tc>
          <w:tcPr>
            <w:tcW w:type="dxa" w:w="2307"/>
          </w:tcPr>
          <w:p>
            <w:pPr>
              <w:pStyle w:val="null3"/>
              <w:jc w:val="left"/>
            </w:pPr>
            <w:r>
              <w:rPr/>
              <w:t>培训方案 (6.0分)</w:t>
            </w:r>
          </w:p>
        </w:tc>
        <w:tc>
          <w:tcPr>
            <w:tcW w:type="dxa" w:w="5076"/>
          </w:tcPr>
          <w:p>
            <w:pPr>
              <w:pStyle w:val="null3"/>
              <w:jc w:val="left"/>
            </w:pPr>
            <w:r>
              <w:rPr/>
              <w:t>投标人根据本项目采购需求制定的“培训方案”进行评审：1.提供的项目培训方案包括培训安排、培训课程资料，每项得0.5分，最高得1分，未提供不得分。2.针对投标人对本项目提供的上述方案内容进行评审：符合项目需要，培训形式丰富，培训时间及地点安排合理，培训课程资料多样、培训师资强，得5分；方案有多种培训形式，有培训时间及地点安排，提供培训课程资料及培训师资，得3分；方案缺少培训形式或培训时间及地点安排或培训课程资料或培训师资内容，得1分；其他情况或无响应者，得0分。</w:t>
            </w:r>
          </w:p>
        </w:tc>
      </w:tr>
      <w:tr>
        <w:tc>
          <w:tcPr>
            <w:tcW w:type="dxa" w:w="922"/>
            <w:gridSpan w:val="2"/>
            <w:vMerge/>
          </w:tcPr>
          <w:p/>
        </w:tc>
        <w:tc>
          <w:tcPr>
            <w:tcW w:type="dxa" w:w="2307"/>
          </w:tcPr>
          <w:p>
            <w:pPr>
              <w:pStyle w:val="null3"/>
              <w:jc w:val="left"/>
            </w:pPr>
            <w:r>
              <w:rPr/>
              <w:t>项目人员情况 (10.0分)</w:t>
            </w:r>
          </w:p>
        </w:tc>
        <w:tc>
          <w:tcPr>
            <w:tcW w:type="dxa" w:w="5076"/>
          </w:tcPr>
          <w:p>
            <w:pPr>
              <w:pStyle w:val="null3"/>
              <w:jc w:val="left"/>
            </w:pPr>
            <w:r>
              <w:rPr/>
              <w:t>1.本项目项目经理（限一名）：（1）具有国家教育行政主管部门认可的硕士研究生及以上学历或学位证书；（2）计算机技术与软件专业技术资格（水平）考试证书（专业：信息系统项目管理师）。以上证书需同时提供，全部满足得4分。 2.要求项目实施人员具备与项目岗位相关的职业资格或技能等级证书： （1）计算机技术与软件专业技术资格（水平）考试证书（专业：数据库系统工程师）； （2）计算机技术与软件专业技术资格（水平）考试证书（专业：软件设计师）； （3）计算机技术与软件专业技术资格（水平）考试证书（专业：系统架构设计师）； （4）计算机技术与软件专业技术资格（水平）考试证书（专业：网络工程师）。 每提供1项得1.5分，最高得6分，同1人满足以上多项要求的不重复计分。 （注：提供以上人员名单、有效证书扫描件及投标人为其缴纳的投标截止时间前三个月任意一个月内社保证明扫描件）</w:t>
            </w:r>
          </w:p>
        </w:tc>
      </w:tr>
      <w:tr>
        <w:tc>
          <w:tcPr>
            <w:tcW w:type="dxa" w:w="922"/>
            <w:gridSpan w:val="2"/>
          </w:tcPr>
          <w:p>
            <w:pPr>
              <w:pStyle w:val="null3"/>
              <w:jc w:val="center"/>
            </w:pPr>
            <w:r>
              <w:rPr/>
              <w:t>投标报价</w:t>
            </w:r>
          </w:p>
        </w:tc>
        <w:tc>
          <w:tcPr>
            <w:tcW w:type="dxa" w:w="2307"/>
          </w:tcPr>
          <w:p>
            <w:pPr>
              <w:pStyle w:val="null3"/>
              <w:jc w:val="left"/>
            </w:pPr>
            <w:r>
              <w:rPr/>
              <w:t>投标报价得分 (30.0分)</w:t>
            </w:r>
          </w:p>
        </w:tc>
        <w:tc>
          <w:tcPr>
            <w:tcW w:type="dxa" w:w="5076"/>
          </w:tcPr>
          <w:p>
            <w:pPr>
              <w:pStyle w:val="null3"/>
              <w:jc w:val="left"/>
            </w:pPr>
            <w:r>
              <w:rPr/>
              <w:t>投标报价得分＝（评标基准价/投标报价）×价格分值【注：满足招标文件要求且投标价格最低的投标报价为评标基准价。】最低报价不是中标的唯一依据。因落实政府采购政策进行价格调整的，以调整后的价格计算评标基准价和投标报价。</w:t>
            </w:r>
          </w:p>
        </w:tc>
      </w:tr>
    </w:tbl>
    <w:p>
      <w:pPr>
        <w:pStyle w:val="null3"/>
        <w:outlineLvl w:val="3"/>
      </w:pPr>
      <w:r>
        <w:rPr>
          <w:sz w:val="24"/>
          <w:b/>
        </w:rPr>
        <w:t>4.汇总、排序</w:t>
      </w:r>
    </w:p>
    <w:p>
      <w:pPr>
        <w:pStyle w:val="null3"/>
      </w:pPr>
      <w:r>
        <w:rPr/>
        <w:t>采购包1：</w:t>
      </w:r>
    </w:p>
    <w:p>
      <w:pPr>
        <w:pStyle w:val="null3"/>
      </w:pPr>
      <w:r>
        <w:rPr/>
        <w:t>评标结果按评审后总得分由高到低顺序排列。总得分相同的按投标报价由低到高顺序排列。得分且投标报价相同的，由评委会采取随机抽取的方式确定。排名第一的投标供应商为第一中标候选人，排名第二的投标供应商为第二中标候选人（提供相同品牌产品（非单一产品采购，以核心产品为准。多个核心产品的，有一种产品品牌相同，即视为提供相同品牌产品），评审后得分最高的同品牌投标人获得中标人推荐资格；评审得分相同的，由采购人或者采购人委托评标委员会采取随机抽取方式确定，其他同品牌投标人不作为中标候选人）。</w:t>
      </w:r>
    </w:p>
    <w:p>
      <w:pPr>
        <w:pStyle w:val="null3"/>
        <w:outlineLvl w:val="3"/>
      </w:pPr>
      <w:r>
        <w:rPr>
          <w:sz w:val="24"/>
          <w:b/>
        </w:rPr>
        <w:t>5.中标价的确定</w:t>
      </w:r>
    </w:p>
    <w:p>
      <w:pPr>
        <w:pStyle w:val="null3"/>
        <w:ind w:firstLine="480"/>
      </w:pPr>
      <w:r>
        <w:rPr/>
        <w:t>除了按第四章第一点第7条修正并经投标人确认的投标报价作为中标价外，中标价以开标时公开唱标价为准。</w:t>
      </w:r>
    </w:p>
    <w:p>
      <w:pPr>
        <w:pStyle w:val="null3"/>
        <w:outlineLvl w:val="3"/>
      </w:pPr>
      <w:r>
        <w:rPr>
          <w:sz w:val="24"/>
          <w:b/>
        </w:rPr>
        <w:t>6.其他无效投标的情形：</w:t>
      </w:r>
    </w:p>
    <w:p>
      <w:pPr>
        <w:pStyle w:val="null3"/>
        <w:ind w:firstLine="480"/>
      </w:pPr>
      <w:r>
        <w:rPr/>
        <w:t>(1)评标期间，投标人没有按评标委员会的要求提交法定代表人或其委托代理人签字的澄清、说明、补正或改变了投标文件的实质性内容的。</w:t>
      </w:r>
    </w:p>
    <w:p>
      <w:pPr>
        <w:pStyle w:val="null3"/>
        <w:ind w:firstLine="480"/>
      </w:pPr>
      <w:r>
        <w:rPr/>
        <w:t>(2)投标文件提供虚假材料的。</w:t>
      </w:r>
    </w:p>
    <w:p>
      <w:pPr>
        <w:pStyle w:val="null3"/>
        <w:ind w:firstLine="480"/>
      </w:pPr>
      <w:r>
        <w:rPr/>
        <w:t>(3)投标人以他人名义投标、串通投标、以行贿手段谋取中标或者以其他弄虚作假方式投标的。</w:t>
      </w:r>
    </w:p>
    <w:p>
      <w:pPr>
        <w:pStyle w:val="null3"/>
        <w:ind w:firstLine="480"/>
      </w:pPr>
      <w:r>
        <w:rPr/>
        <w:t>(4)投标人对采购人、采购代理机构、评标委员会及其工作人员施加影响，有碍招标公平、公正的。</w:t>
      </w:r>
    </w:p>
    <w:p>
      <w:pPr>
        <w:pStyle w:val="null3"/>
        <w:ind w:firstLine="480"/>
      </w:pPr>
      <w:r>
        <w:rPr/>
        <w:t>(5)投标文件含有采购人不能接受的附加条件的。</w:t>
      </w:r>
    </w:p>
    <w:p>
      <w:pPr>
        <w:pStyle w:val="null3"/>
        <w:ind w:firstLine="480"/>
      </w:pPr>
      <w:r>
        <w:rPr/>
        <w:t>(6)法律、法规和招标文件规定的其他无效情形。</w:t>
      </w:r>
    </w:p>
    <w:p>
      <w:pPr>
        <w:pStyle w:val="null3"/>
      </w:pPr>
      <w:r>
        <w:rPr/>
        <w:t xml:space="preserve">  </w:t>
      </w:r>
    </w:p>
    <w:p>
      <w:pPr>
        <w:pStyle w:val="null3"/>
        <w:jc w:val="center"/>
        <w:outlineLvl w:val="1"/>
      </w:pPr>
      <w:r>
        <w:rPr>
          <w:sz w:val="36"/>
          <w:b/>
        </w:rPr>
        <w:t>第五章 合同文本</w:t>
      </w:r>
    </w:p>
    <w:p>
      <w:pPr>
        <w:pStyle w:val="null3"/>
      </w:pPr>
      <w:r>
        <w:rPr/>
        <w:t xml:space="preserve"> </w:t>
      </w:r>
    </w:p>
    <w:p>
      <w:pPr>
        <w:pStyle w:val="null3"/>
      </w:pPr>
      <w:r>
        <w:rPr/>
        <w:t xml:space="preserve"> </w:t>
      </w:r>
    </w:p>
    <w:p>
      <w:pPr>
        <w:pStyle w:val="null3"/>
      </w:pPr>
      <w:r>
        <w:rPr/>
        <w:t xml:space="preserve"> </w:t>
      </w:r>
    </w:p>
    <w:p>
      <w:pPr>
        <w:pStyle w:val="null3"/>
      </w:pPr>
      <w:r>
        <w:rPr/>
        <w:t xml:space="preserve"> </w:t>
      </w:r>
    </w:p>
    <w:p>
      <w:pPr>
        <w:pStyle w:val="null3"/>
      </w:pPr>
      <w:r>
        <w:rPr/>
        <w:t xml:space="preserve"> </w:t>
      </w:r>
    </w:p>
    <w:p>
      <w:pPr>
        <w:pStyle w:val="null3"/>
      </w:pPr>
      <w:r>
        <w:rPr/>
        <w:t xml:space="preserve"> </w:t>
      </w:r>
    </w:p>
    <w:p>
      <w:pPr>
        <w:pStyle w:val="null3"/>
      </w:pPr>
      <w:r>
        <w:rPr/>
        <w:t xml:space="preserve"> </w:t>
      </w:r>
    </w:p>
    <w:p>
      <w:pPr>
        <w:pStyle w:val="null3"/>
      </w:pPr>
      <w:r>
        <w:rPr/>
        <w:t xml:space="preserve"> </w:t>
      </w:r>
    </w:p>
    <w:p>
      <w:pPr>
        <w:pStyle w:val="null3"/>
      </w:pPr>
      <w:r>
        <w:rPr/>
        <w:t xml:space="preserve"> </w:t>
      </w:r>
    </w:p>
    <w:p>
      <w:pPr>
        <w:pStyle w:val="null3"/>
      </w:pPr>
      <w:r>
        <w:rPr/>
        <w:t xml:space="preserve"> </w:t>
      </w:r>
    </w:p>
    <w:p>
      <w:pPr>
        <w:pStyle w:val="null3"/>
      </w:pPr>
      <w:r>
        <w:rPr>
          <w:sz w:val="39"/>
        </w:rPr>
        <w:t>广东交通职业技术学院</w:t>
      </w:r>
    </w:p>
    <w:p>
      <w:pPr>
        <w:pStyle w:val="null3"/>
        <w:jc w:val="center"/>
      </w:pPr>
      <w:r>
        <w:rPr>
          <w:sz w:val="39"/>
        </w:rPr>
        <w:t>服务采购合同书</w:t>
      </w:r>
    </w:p>
    <w:p>
      <w:pPr>
        <w:pStyle w:val="null3"/>
      </w:pPr>
      <w:r>
        <w:rPr/>
        <w:t xml:space="preserve"> </w:t>
      </w:r>
    </w:p>
    <w:p>
      <w:pPr>
        <w:pStyle w:val="null3"/>
      </w:pPr>
      <w:r>
        <w:rPr/>
        <w:t xml:space="preserve"> </w:t>
      </w:r>
    </w:p>
    <w:p>
      <w:pPr>
        <w:pStyle w:val="null3"/>
      </w:pPr>
      <w:r>
        <w:rPr/>
        <w:t xml:space="preserve"> </w:t>
      </w:r>
    </w:p>
    <w:p>
      <w:pPr>
        <w:pStyle w:val="null3"/>
      </w:pPr>
      <w:r>
        <w:rPr/>
        <w:t xml:space="preserve"> </w:t>
      </w:r>
    </w:p>
    <w:p>
      <w:pPr>
        <w:pStyle w:val="null3"/>
      </w:pPr>
      <w:r>
        <w:rPr/>
        <w:t xml:space="preserve"> </w:t>
      </w:r>
    </w:p>
    <w:p>
      <w:pPr>
        <w:pStyle w:val="null3"/>
      </w:pPr>
      <w:r>
        <w:rPr/>
        <w:t xml:space="preserve"> </w:t>
      </w:r>
    </w:p>
    <w:p>
      <w:pPr>
        <w:pStyle w:val="null3"/>
      </w:pPr>
      <w:r>
        <w:rPr/>
        <w:t xml:space="preserve"> </w:t>
      </w:r>
    </w:p>
    <w:p>
      <w:pPr>
        <w:pStyle w:val="null3"/>
      </w:pPr>
      <w:r>
        <w:rPr/>
        <w:t xml:space="preserve"> </w:t>
      </w:r>
    </w:p>
    <w:p>
      <w:pPr>
        <w:pStyle w:val="null3"/>
      </w:pPr>
      <w:r>
        <w:rPr/>
        <w:t xml:space="preserve"> </w:t>
      </w:r>
    </w:p>
    <w:p>
      <w:pPr>
        <w:pStyle w:val="null3"/>
      </w:pPr>
      <w:r>
        <w:rPr/>
        <w:t xml:space="preserve"> </w:t>
      </w:r>
    </w:p>
    <w:p>
      <w:pPr>
        <w:pStyle w:val="null3"/>
      </w:pPr>
      <w:r>
        <w:rPr/>
        <w:t xml:space="preserve"> </w:t>
      </w:r>
    </w:p>
    <w:p>
      <w:pPr>
        <w:pStyle w:val="null3"/>
      </w:pPr>
      <w:r>
        <w:rPr>
          <w:sz w:val="36"/>
        </w:rPr>
        <w:t>甲方：广东交通职业技术学院</w:t>
      </w:r>
    </w:p>
    <w:p>
      <w:pPr>
        <w:pStyle w:val="null3"/>
      </w:pPr>
      <w:r>
        <w:rPr>
          <w:sz w:val="36"/>
        </w:rPr>
        <w:t>乙方：（必填项）</w:t>
      </w:r>
    </w:p>
    <w:p>
      <w:pPr>
        <w:pStyle w:val="null3"/>
      </w:pPr>
      <w:r>
        <w:rPr>
          <w:sz w:val="36"/>
        </w:rPr>
        <w:t xml:space="preserve">签订地点：   广州市天河区   </w:t>
      </w:r>
    </w:p>
    <w:p>
      <w:pPr>
        <w:pStyle w:val="null3"/>
      </w:pPr>
      <w:r>
        <w:rPr/>
        <w:t xml:space="preserve"> </w:t>
      </w:r>
    </w:p>
    <w:p>
      <w:pPr>
        <w:pStyle w:val="null3"/>
      </w:pPr>
      <w:r>
        <w:rPr/>
        <w:t xml:space="preserve"> </w:t>
      </w:r>
    </w:p>
    <w:p>
      <w:pPr>
        <w:pStyle w:val="null3"/>
      </w:pPr>
      <w:r>
        <w:rPr/>
        <w:t xml:space="preserve"> </w:t>
      </w:r>
    </w:p>
    <w:p>
      <w:pPr>
        <w:pStyle w:val="null3"/>
      </w:pPr>
      <w:r>
        <w:rPr/>
        <w:t xml:space="preserve"> </w:t>
      </w:r>
    </w:p>
    <w:p>
      <w:pPr>
        <w:pStyle w:val="null3"/>
      </w:pPr>
      <w:r>
        <w:rPr/>
        <w:t xml:space="preserve"> </w:t>
      </w:r>
    </w:p>
    <w:p>
      <w:pPr>
        <w:pStyle w:val="null3"/>
      </w:pPr>
      <w:r>
        <w:rPr>
          <w:sz w:val="36"/>
        </w:rPr>
        <w:t xml:space="preserve">合同名称：                                      </w:t>
      </w:r>
    </w:p>
    <w:p>
      <w:pPr>
        <w:pStyle w:val="null3"/>
      </w:pPr>
      <w:r>
        <w:rPr>
          <w:sz w:val="36"/>
        </w:rPr>
        <w:t xml:space="preserve">合同编号：                                  </w:t>
      </w:r>
    </w:p>
    <w:p>
      <w:pPr>
        <w:pStyle w:val="null3"/>
      </w:pPr>
      <w:r>
        <w:rPr/>
        <w:t xml:space="preserve"> </w:t>
      </w:r>
    </w:p>
    <w:p>
      <w:pPr>
        <w:pStyle w:val="null3"/>
      </w:pPr>
      <w:r>
        <w:rPr/>
        <w:t xml:space="preserve"> </w:t>
      </w:r>
    </w:p>
    <w:p>
      <w:pPr>
        <w:pStyle w:val="null3"/>
      </w:pPr>
      <w:r>
        <w:rPr/>
        <w:t xml:space="preserve"> </w:t>
      </w:r>
    </w:p>
    <w:p>
      <w:pPr>
        <w:pStyle w:val="null3"/>
      </w:pPr>
      <w:r>
        <w:rPr/>
        <w:t xml:space="preserve"> </w:t>
      </w:r>
    </w:p>
    <w:p>
      <w:pPr>
        <w:pStyle w:val="null3"/>
      </w:pPr>
      <w:r>
        <w:rPr/>
        <w:t xml:space="preserve"> </w:t>
      </w:r>
    </w:p>
    <w:p>
      <w:pPr>
        <w:pStyle w:val="null3"/>
        <w:pBdr>
          <w:bottom w:val="single" w:sz="6" w:space="1"/>
          <w:between w:val="single" w:sz="6" w:space="1"/>
        </w:pBdr>
      </w:pPr>
      <w:r>
        <w:rPr>
          <w:sz w:val="27"/>
        </w:rPr>
        <w:t>根据《中华人民共和国政府采购法》、《中华人民共和国民法典》等国家法律法规，以及甲方委托________（代理机构名称）组织的_____项目（项目名称）(采购编号_________)的成交结果，经甲乙双方协商一致，签订本合同，由双方共同恪守如下内容：</w:t>
      </w:r>
    </w:p>
    <w:p>
      <w:pPr>
        <w:pStyle w:val="null3"/>
      </w:pPr>
      <w:r>
        <w:rPr>
          <w:sz w:val="27"/>
        </w:rPr>
        <w:t>一、技术委托内容及要求</w:t>
      </w:r>
    </w:p>
    <w:p>
      <w:pPr>
        <w:pStyle w:val="null3"/>
      </w:pPr>
      <w:r>
        <w:rPr>
          <w:sz w:val="27"/>
        </w:rPr>
        <w:t>1. 甲方委托乙方开发_________软件系统（以下简称“软件系统”），并分为    个功能模块，具体包括：</w:t>
      </w:r>
    </w:p>
    <w:p>
      <w:pPr>
        <w:pStyle w:val="null3"/>
      </w:pPr>
      <w:r>
        <w:rPr>
          <w:sz w:val="27"/>
        </w:rPr>
        <w:t>（1）_________；</w:t>
      </w:r>
    </w:p>
    <w:p>
      <w:pPr>
        <w:pStyle w:val="null3"/>
      </w:pPr>
      <w:r>
        <w:rPr>
          <w:sz w:val="27"/>
        </w:rPr>
        <w:t>（2）_________；</w:t>
      </w:r>
    </w:p>
    <w:p>
      <w:pPr>
        <w:pStyle w:val="null3"/>
      </w:pPr>
      <w:r>
        <w:rPr>
          <w:sz w:val="27"/>
        </w:rPr>
        <w:t>（3）_________。</w:t>
      </w:r>
    </w:p>
    <w:p>
      <w:pPr>
        <w:pStyle w:val="null3"/>
      </w:pPr>
      <w:r>
        <w:rPr>
          <w:sz w:val="27"/>
        </w:rPr>
        <w:t>上述功能模块共同构成本合同所规定的软件系统，且该软件系统的主要技术功能必须达到本合同规定的详细情况和要求，否则甲方有权拒收。</w:t>
      </w:r>
    </w:p>
    <w:p>
      <w:pPr>
        <w:pStyle w:val="null3"/>
      </w:pPr>
      <w:r>
        <w:rPr>
          <w:sz w:val="27"/>
        </w:rPr>
        <w:t>2. 软件系统是甲方为_______而建设开发的软件，该软件处理的对象是_________ 等，同时为甲方进行内部以及对外的人、财、物综合管理提供数据接口。</w:t>
      </w:r>
    </w:p>
    <w:p>
      <w:pPr>
        <w:pStyle w:val="null3"/>
      </w:pPr>
      <w:r>
        <w:rPr>
          <w:sz w:val="27"/>
        </w:rPr>
        <w:t>3. 软件系统的整体功能应符合招投标文件所描述的要求，并实现标准规范、正确性、兼容性、高效率、安全性、可靠性、开放性、实用性、可扩展性等的技术指标，达到构建完整        的目标。</w:t>
      </w:r>
    </w:p>
    <w:p>
      <w:pPr>
        <w:pStyle w:val="null3"/>
      </w:pPr>
      <w:r>
        <w:rPr>
          <w:sz w:val="27"/>
        </w:rPr>
        <w:t>二、交付时间要求</w:t>
      </w:r>
    </w:p>
    <w:p>
      <w:pPr>
        <w:pStyle w:val="null3"/>
      </w:pPr>
      <w:r>
        <w:rPr>
          <w:sz w:val="27"/>
        </w:rPr>
        <w:t>软件系统应在     年      月     日前交付甲方试用，否则视为乙方迟延交付，乙方应承担由此给甲方造成的损失及违约责任。</w:t>
      </w:r>
    </w:p>
    <w:p>
      <w:pPr>
        <w:pStyle w:val="null3"/>
      </w:pPr>
      <w:r>
        <w:rPr>
          <w:sz w:val="27"/>
        </w:rPr>
        <w:t>三、软件系统试运行</w:t>
      </w:r>
    </w:p>
    <w:p>
      <w:pPr>
        <w:pStyle w:val="null3"/>
      </w:pPr>
      <w:r>
        <w:rPr>
          <w:sz w:val="27"/>
        </w:rPr>
        <w:t>1. 自软件系统交付甲方试用之日起，甲方拥有至少     个工作日的试运行权利。</w:t>
      </w:r>
    </w:p>
    <w:p>
      <w:pPr>
        <w:pStyle w:val="null3"/>
      </w:pPr>
      <w:r>
        <w:rPr>
          <w:sz w:val="27"/>
        </w:rPr>
        <w:t>2. 如软件在试运行期间出现非人为故障或问题，乙方应在   个工作日内排除故障、解决问题，由此引起的相关费用由乙方承担。如乙方在前述时间内无法排除故障、解决问题，影响软件系统基本功能和目标的实现，则视为乙方迟延交付，乙方应承担由此给甲方造成的损失及违约责任，除非上述故障和问题是由甲方引起的。</w:t>
      </w:r>
    </w:p>
    <w:p>
      <w:pPr>
        <w:pStyle w:val="null3"/>
      </w:pPr>
      <w:r>
        <w:rPr>
          <w:sz w:val="27"/>
        </w:rPr>
        <w:t>四、软件系统最终验收</w:t>
      </w:r>
    </w:p>
    <w:p>
      <w:pPr>
        <w:pStyle w:val="null3"/>
      </w:pPr>
      <w:r>
        <w:rPr>
          <w:sz w:val="27"/>
        </w:rPr>
        <w:t>1. 软件系统试运行完成后，乙方应以书面形式向甲方递交验收申请书，甲方根据内部流程安排验收。项目文件及测试均验收合格后，甲方将出具广东交通职业技术学院采购物资验收报告给乙方。验收合格之日为甲方签署广东交通职业技术学院采购物资验收报告的日期。</w:t>
      </w:r>
    </w:p>
    <w:p>
      <w:pPr>
        <w:pStyle w:val="null3"/>
      </w:pPr>
      <w:r>
        <w:rPr>
          <w:sz w:val="27"/>
        </w:rPr>
        <w:t>2. 如由于乙方提供的软件系统不符合甲方要求导致未能通过验收，乙方应根据甲方要求在限期内整改、排除故障，并承担由此产生的费用，同时延长试运行期限    个工作日，直至软件系统完全符合甲方的验收标准。</w:t>
      </w:r>
    </w:p>
    <w:p>
      <w:pPr>
        <w:pStyle w:val="null3"/>
      </w:pPr>
      <w:r>
        <w:rPr>
          <w:sz w:val="27"/>
        </w:rPr>
        <w:t>3. 如由于甲方原因致使软件系统未通过验收，甲方应在合理时间内排除故障，再进行验收。</w:t>
      </w:r>
    </w:p>
    <w:p>
      <w:pPr>
        <w:pStyle w:val="null3"/>
      </w:pPr>
      <w:r>
        <w:rPr>
          <w:sz w:val="27"/>
        </w:rPr>
        <w:t>4. 验收合格后，乙方应将各阶段产生的文档资料汇编成册交付给甲方，并且提供明确的交付清单。乙方交付的文档资料应包含各种技术文档（含：开发环境配置说明、软件工具清单、需求分析说明、变更说明、系统设计说明、用户手册、测试用例、测试结果、系统维护说明、系统培训资料及有关系统接口的技术说明等）、管理文档等。</w:t>
      </w:r>
    </w:p>
    <w:p>
      <w:pPr>
        <w:pStyle w:val="null3"/>
      </w:pPr>
      <w:r>
        <w:rPr>
          <w:sz w:val="27"/>
        </w:rPr>
        <w:t>五、知识产权和使用权</w:t>
      </w:r>
    </w:p>
    <w:p>
      <w:pPr>
        <w:pStyle w:val="null3"/>
      </w:pPr>
      <w:r>
        <w:rPr>
          <w:sz w:val="27"/>
        </w:rPr>
        <w:t>1. 乙方应保证，甲方在使用本合同项目开发的软件和数据的任何一部分时，如受第三方提出的侵犯其知识产权、肖像权、技术秘密、商业秘密或其他任何权益的起诉，由乙方承担一切责任。</w:t>
      </w:r>
    </w:p>
    <w:p>
      <w:pPr>
        <w:pStyle w:val="null3"/>
      </w:pPr>
      <w:r>
        <w:rPr>
          <w:sz w:val="27"/>
        </w:rPr>
        <w:t>2. 软件系统开发完毕后，系统中原属于乙方的技术和功能模块甲方具有永久使用权；乙方结合甲方功能需求新开发的功能模块、具有新特色的系统所产生的知识产权归甲乙双方共同所有。</w:t>
      </w:r>
    </w:p>
    <w:p>
      <w:pPr>
        <w:pStyle w:val="null3"/>
      </w:pPr>
      <w:r>
        <w:rPr>
          <w:sz w:val="27"/>
        </w:rPr>
        <w:t>双方共同所有的知识产权，未经甲乙双方共同的书面许可，任何一方不得以任何方式向第三方披露、转让和许可有关的技术成果、计算机软件、技术诀窍、秘密信息、技术资料和文件等；除本研发项目或者工作需要之外，未得到甲乙双方共同的书面许可，甲乙双方不得以任何方式商业性地利用上述资料、技术及信息。如违反本条规定，除应立即停止违约行为外，违约方还应向守约方支付合同总价20%的违约金以及赔偿守约方的损失。</w:t>
      </w:r>
    </w:p>
    <w:p>
      <w:pPr>
        <w:pStyle w:val="null3"/>
      </w:pPr>
      <w:r>
        <w:rPr>
          <w:sz w:val="27"/>
        </w:rPr>
        <w:t>3. 甲方对本合同项目的软件系统和数据具有永久使用权。</w:t>
      </w:r>
    </w:p>
    <w:p>
      <w:pPr>
        <w:pStyle w:val="null3"/>
      </w:pPr>
      <w:r>
        <w:rPr>
          <w:sz w:val="27"/>
        </w:rPr>
        <w:t>4. 除本合同另有规定外，甲方对乙方所许可使用的软件没有向第三方许可使用的权利。</w:t>
      </w:r>
    </w:p>
    <w:p>
      <w:pPr>
        <w:pStyle w:val="null3"/>
      </w:pPr>
      <w:r>
        <w:rPr>
          <w:sz w:val="27"/>
        </w:rPr>
        <w:t>5. 甲方在使用乙方提供的第三方软件时，应当遵守乙方与第三方对该软件使用的约定。乙方应事先将该约定的复印件交甲方参阅、保存。</w:t>
      </w:r>
    </w:p>
    <w:p>
      <w:pPr>
        <w:pStyle w:val="null3"/>
      </w:pPr>
      <w:r>
        <w:rPr>
          <w:sz w:val="27"/>
        </w:rPr>
        <w:t>六、付款</w:t>
      </w:r>
    </w:p>
    <w:p>
      <w:pPr>
        <w:pStyle w:val="null3"/>
      </w:pPr>
      <w:r>
        <w:rPr>
          <w:sz w:val="27"/>
        </w:rPr>
        <w:t>1.1期：支付比例30%,签订合同后10个工作日内（乙方已缴纳履约保证金后）支付合同总金额的30%，乙方必须提供相应金额的发票。（乙方为中小微企业的5个工作日内支付首期款）</w:t>
      </w:r>
    </w:p>
    <w:p>
      <w:pPr>
        <w:pStyle w:val="null3"/>
      </w:pPr>
      <w:r>
        <w:rPr>
          <w:sz w:val="27"/>
        </w:rPr>
        <w:t>2.2期：支付比例30%,系统项目所有软件安装部署实施、调试且所有安装并通过甲方确认后，10个工作日内甲方收到乙方开具的等额正式发票后支付合同总金额30%的费用。</w:t>
      </w:r>
    </w:p>
    <w:p>
      <w:pPr>
        <w:pStyle w:val="null3"/>
      </w:pPr>
      <w:r>
        <w:rPr>
          <w:sz w:val="27"/>
        </w:rPr>
        <w:t>3.3期：支付比例40%,项目通过验收后，10个工作日内甲方收到乙方开具的等额正式发票后支付合同总金额40%的费用。</w:t>
      </w:r>
    </w:p>
    <w:p>
      <w:pPr>
        <w:pStyle w:val="null3"/>
      </w:pPr>
      <w:r>
        <w:rPr>
          <w:sz w:val="27"/>
        </w:rPr>
        <w:t>（注：甲方向乙方指定账户汇出款项后，即视为已履行付款义务。在汇款过程中，因乙方账户的原因（包括但不限于账号被注销、被冻结等）导致其无法收取款项的，由乙方承担相应后果。）</w:t>
      </w:r>
    </w:p>
    <w:p>
      <w:pPr>
        <w:pStyle w:val="null3"/>
      </w:pPr>
      <w:r>
        <w:rPr>
          <w:sz w:val="27"/>
        </w:rPr>
        <w:t>如项目发生合同融资，甲方需将合同款项支付到合同约定收款账户。</w:t>
      </w:r>
    </w:p>
    <w:p>
      <w:pPr>
        <w:pStyle w:val="null3"/>
      </w:pPr>
      <w:r>
        <w:rPr>
          <w:sz w:val="27"/>
        </w:rPr>
        <w:t>七、</w:t>
      </w:r>
      <w:r>
        <w:rPr>
          <w:sz w:val="27"/>
        </w:rPr>
        <w:t>履约保证金</w:t>
      </w:r>
    </w:p>
    <w:p>
      <w:pPr>
        <w:pStyle w:val="null3"/>
      </w:pPr>
      <w:r>
        <w:rPr>
          <w:sz w:val="27"/>
        </w:rPr>
        <w:t>交纳比例：5%</w:t>
      </w:r>
    </w:p>
    <w:p>
      <w:pPr>
        <w:pStyle w:val="null3"/>
      </w:pPr>
      <w:r>
        <w:rPr>
          <w:sz w:val="27"/>
        </w:rPr>
        <w:t>缴费渠道：电子保函（保险）、支票（本票、汇票）、其他</w:t>
      </w:r>
    </w:p>
    <w:p>
      <w:pPr>
        <w:pStyle w:val="null3"/>
      </w:pPr>
      <w:r>
        <w:rPr>
          <w:sz w:val="27"/>
        </w:rPr>
        <w:t>账号：3602078209000282877</w:t>
      </w:r>
    </w:p>
    <w:p>
      <w:pPr>
        <w:pStyle w:val="null3"/>
      </w:pPr>
      <w:r>
        <w:rPr>
          <w:sz w:val="27"/>
        </w:rPr>
        <w:t>户名：广东交通职业技术学院</w:t>
      </w:r>
    </w:p>
    <w:p>
      <w:pPr>
        <w:pStyle w:val="null3"/>
      </w:pPr>
      <w:r>
        <w:rPr>
          <w:sz w:val="27"/>
        </w:rPr>
        <w:t>开户行：工商银行广州市元岗支行</w:t>
      </w:r>
    </w:p>
    <w:p>
      <w:pPr>
        <w:pStyle w:val="null3"/>
      </w:pPr>
      <w:r>
        <w:rPr>
          <w:sz w:val="27"/>
        </w:rPr>
        <w:t>支票提交方式：乙方应以银行支票（或现金支票）形式提交应以银行支票（或现金支票）形式提交，且需为不可撤销、见票即付的即期支票，收款人注明为广东交通职业技术学院。</w:t>
      </w:r>
    </w:p>
    <w:p>
      <w:pPr>
        <w:pStyle w:val="null3"/>
      </w:pPr>
      <w:r>
        <w:rPr>
          <w:sz w:val="27"/>
        </w:rPr>
        <w:t>汇票、本票提交方式：乙方应以银行承兑汇票或商业承兑汇票形式提交，且需为不可撤销、无条件付款的即期票据，收款人注明为广东交通职业技术学院。</w:t>
      </w:r>
    </w:p>
    <w:p>
      <w:pPr>
        <w:pStyle w:val="null3"/>
      </w:pPr>
      <w:r>
        <w:rPr>
          <w:sz w:val="27"/>
        </w:rPr>
        <w:t>说明：合同签订后5个工作日内，乙方按合同总价的5%交付履约保证金给甲方，验收合格后，无质量问题，乙方无违约行为且无未结款项(包括但不限于违约金、赔偿金等)的，乙方提出申请后，甲方于15个工作日内无息返还。合同期内乙方违约退出的，其履约保证金不予退回，且甲方无需承担任何责任。合同期内乙方擅自中止履行合同超过15天或解除合同的，或因乙方原因导致甲方解除合同的，其履约保证金不予退回，且甲方无需承担任何责任。</w:t>
      </w:r>
    </w:p>
    <w:p>
      <w:pPr>
        <w:pStyle w:val="null3"/>
      </w:pPr>
      <w:r>
        <w:rPr>
          <w:sz w:val="27"/>
        </w:rPr>
        <w:t>履约保证金可以以履约保函（保险）形式提供，目前"广东政府采购智慧云平台金融服务中心(https://gdgpo.czt.gd.gov.cn/zcdservice/zcd/guangdong/)已实现电子履约保函（保险）在线办理功能，有意愿供应商可自行办理提供。</w:t>
      </w:r>
    </w:p>
    <w:p>
      <w:pPr>
        <w:pStyle w:val="null3"/>
      </w:pPr>
      <w:r>
        <w:rPr>
          <w:sz w:val="27"/>
        </w:rPr>
        <w:t>八、售后服务要求</w:t>
      </w:r>
    </w:p>
    <w:p>
      <w:pPr>
        <w:pStyle w:val="null3"/>
      </w:pPr>
      <w:r>
        <w:rPr>
          <w:sz w:val="27"/>
        </w:rPr>
        <w:t>详见采购需求</w:t>
      </w:r>
    </w:p>
    <w:p>
      <w:pPr>
        <w:pStyle w:val="null3"/>
      </w:pPr>
      <w:r>
        <w:rPr>
          <w:sz w:val="27"/>
        </w:rPr>
        <w:t>九、培训</w:t>
      </w:r>
    </w:p>
    <w:p>
      <w:pPr>
        <w:pStyle w:val="null3"/>
      </w:pPr>
      <w:r>
        <w:rPr>
          <w:sz w:val="27"/>
        </w:rPr>
        <w:t>详见采购需求</w:t>
      </w:r>
    </w:p>
    <w:p>
      <w:pPr>
        <w:pStyle w:val="null3"/>
      </w:pPr>
      <w:r>
        <w:rPr>
          <w:sz w:val="27"/>
        </w:rPr>
        <w:t>十、违约责任</w:t>
      </w:r>
    </w:p>
    <w:p>
      <w:pPr>
        <w:pStyle w:val="null3"/>
      </w:pPr>
      <w:r>
        <w:rPr>
          <w:sz w:val="27"/>
        </w:rPr>
        <w:t>1. 乙方提供的服务不符合合同约定的，甲方有权拒收，乙方需向甲方支付合同总价10%的违约金，违约金不足以弥补甲方损失的，乙方应另行赔偿。乙方应于甲方要求的时间内重新提供符合合同约定的服务。</w:t>
      </w:r>
    </w:p>
    <w:p>
      <w:pPr>
        <w:pStyle w:val="null3"/>
      </w:pPr>
      <w:r>
        <w:rPr>
          <w:sz w:val="27"/>
        </w:rPr>
        <w:t>2. 乙方迟延提供服务的，每逾期一日，按合同总价的0.8‰向甲方支付违约金，甲方有权直接从应付给乙方的合同款项中扣除该违约金，且甲方有权要求乙方继续提供服务直至符合甲方要求。当逾期违约金累计总额超过合同款总额的百分之五时，甲方有权解除合同，如按上述办法计算的违约金仍不足以补偿因乙方违约造成的损失，甲方有权进一步向乙方提出索赔。</w:t>
      </w:r>
    </w:p>
    <w:p>
      <w:pPr>
        <w:pStyle w:val="null3"/>
      </w:pPr>
      <w:r>
        <w:rPr>
          <w:sz w:val="27"/>
        </w:rPr>
        <w:t>3. 若乙方未按本合同的约定提供售后服务，甲方有权自行委托第三方提供甲方所需要的技术支持和售后服务，由此造成的包括但不限于第三方服务费用、甲方其他经济损失等均由乙方承担赔偿。甲方根据合同约定对乙方行使的其他权利不受影响。由于乙方的保证服务不到位，质量保证和原厂上门保修服务的到期时间将根据实际情况进行顺延。</w:t>
      </w:r>
    </w:p>
    <w:p>
      <w:pPr>
        <w:pStyle w:val="null3"/>
      </w:pPr>
      <w:r>
        <w:rPr>
          <w:sz w:val="27"/>
        </w:rPr>
        <w:t>4. 乙方有以下情形之一的，甲方有权解除合同，乙方需退还甲方已支付的所有款项，并按合同总价的10%向甲方支付违约金，违约金不足以弥补甲方损失的，乙方应另行赔偿：</w:t>
      </w:r>
    </w:p>
    <w:p>
      <w:pPr>
        <w:pStyle w:val="null3"/>
      </w:pPr>
      <w:r>
        <w:rPr>
          <w:sz w:val="27"/>
        </w:rPr>
        <w:t>（1）乙方提供的软件系统存在侵犯他人知识产权、肖像权、技术秘密、商业秘密或其他任何权益的；</w:t>
      </w:r>
    </w:p>
    <w:p>
      <w:pPr>
        <w:pStyle w:val="null3"/>
      </w:pPr>
      <w:r>
        <w:rPr>
          <w:sz w:val="27"/>
        </w:rPr>
        <w:t>（2）乙方履行义务不符合约定，经甲方提出后在合理期限内仍未改正的；</w:t>
      </w:r>
    </w:p>
    <w:p>
      <w:pPr>
        <w:pStyle w:val="null3"/>
      </w:pPr>
      <w:r>
        <w:rPr>
          <w:sz w:val="27"/>
        </w:rPr>
        <w:t>（3）未经甲方书面同意，乙方擅自将本合同项下的权利或义务转让，或将本合同项下服务转包或分包的；</w:t>
      </w:r>
    </w:p>
    <w:p>
      <w:pPr>
        <w:pStyle w:val="null3"/>
      </w:pPr>
      <w:r>
        <w:rPr>
          <w:sz w:val="27"/>
        </w:rPr>
        <w:t>（4）国家法律规定的其他合同解除情形。</w:t>
      </w:r>
    </w:p>
    <w:p>
      <w:pPr>
        <w:pStyle w:val="null3"/>
      </w:pPr>
      <w:r>
        <w:rPr>
          <w:sz w:val="27"/>
        </w:rPr>
        <w:t>5. 甲方逾期支付货款，经乙方催告后无正当理由仍不支付的，自催告后每逾期一日，应按逾期付款金额每日0.8‰向乙方支付违约金，违约金总额最高不超过应付未付金额的5%。</w:t>
      </w:r>
    </w:p>
    <w:p>
      <w:pPr>
        <w:pStyle w:val="null3"/>
      </w:pPr>
      <w:r>
        <w:rPr>
          <w:sz w:val="27"/>
        </w:rPr>
        <w:t>6. 本合同所称之损失，包括守约方的直接经济损失和合同履行后可以获得的利益及合理的调查费、评估费、公证费、诉讼费、交通费、律师费等相关法律费用。</w:t>
      </w:r>
    </w:p>
    <w:p>
      <w:pPr>
        <w:pStyle w:val="null3"/>
      </w:pPr>
      <w:r>
        <w:rPr>
          <w:sz w:val="27"/>
        </w:rPr>
        <w:t>十一、保密责任</w:t>
      </w:r>
    </w:p>
    <w:p>
      <w:pPr>
        <w:pStyle w:val="null3"/>
      </w:pPr>
      <w:r>
        <w:rPr>
          <w:sz w:val="27"/>
        </w:rPr>
        <w:t>双方应保守通过签订和履行本合同而获取的对方之商业及技术秘密，包括本合同文本，相关技术文件、相关数据，以及其他有关信息。任何一方违反上述约定的，应赔偿合同守约方的损失。本保密条款及保密责任不因合同的解除或终止而消失。</w:t>
      </w:r>
    </w:p>
    <w:p>
      <w:pPr>
        <w:pStyle w:val="null3"/>
      </w:pPr>
      <w:r>
        <w:rPr>
          <w:sz w:val="27"/>
        </w:rPr>
        <w:t>十二、不可抗力</w:t>
      </w:r>
    </w:p>
    <w:p>
      <w:pPr>
        <w:pStyle w:val="null3"/>
      </w:pPr>
      <w:r>
        <w:rPr>
          <w:sz w:val="27"/>
        </w:rPr>
        <w:t>一方由于不能预见、不能避免并不能克服的客观情况（也即法定不可抗力事由），且该情况是在合同生效后发生的，导致不能或暂时不能全部或部分履行本合同，该方可以免责。但是，受不可抗力事件影响的一方须尽快将事件发生状况通知另一方，并在不可抗力事件影响消除之日起10日内将有关机构出具的不可抗力事件证明寄交对方。逾期未提供以上证明的，不能免除违约责任。</w:t>
      </w:r>
    </w:p>
    <w:p>
      <w:pPr>
        <w:pStyle w:val="null3"/>
      </w:pPr>
      <w:r>
        <w:rPr>
          <w:sz w:val="27"/>
        </w:rPr>
        <w:t>十三、法律适用与争议解决</w:t>
      </w:r>
    </w:p>
    <w:p>
      <w:pPr>
        <w:pStyle w:val="null3"/>
      </w:pPr>
      <w:r>
        <w:rPr>
          <w:sz w:val="27"/>
        </w:rPr>
        <w:t>1. 本合同的成立、有效性、解释、履行、签署、修订和终止以及争议的解决等均应适用中华人民共和国法律。</w:t>
      </w:r>
    </w:p>
    <w:p>
      <w:pPr>
        <w:pStyle w:val="null3"/>
      </w:pPr>
      <w:r>
        <w:rPr>
          <w:sz w:val="27"/>
        </w:rPr>
        <w:t>2. 甲乙双方在履行本合同时发生的争议，都应首先由双方通过友好协商解决。双方通过协商仍不能解决争议，双方一致同意向甲方所在地（即广州市天河区）人民法院提起诉讼。</w:t>
      </w:r>
    </w:p>
    <w:p>
      <w:pPr>
        <w:pStyle w:val="null3"/>
      </w:pPr>
      <w:r>
        <w:rPr>
          <w:sz w:val="27"/>
        </w:rPr>
        <w:t>十四、通知与送达</w:t>
      </w:r>
    </w:p>
    <w:p>
      <w:pPr>
        <w:pStyle w:val="null3"/>
      </w:pPr>
      <w:r>
        <w:rPr>
          <w:sz w:val="27"/>
        </w:rPr>
        <w:t>一方在本合同履行过程中向对方发出或者提供的所有通知、文件、文书、资料等，均以本合同所列明的地址送达。一方如果迁址、变更电话，应当在变更之日起5日内书面通知对方，未履行书面通知义务的，一方按原地址邮寄相关材料或通知相关信息即视为已履行送达义务。当面交付上述材料的，在交付之时视为送达；以邮寄方式交付的，寄出、发出或者投邮后即视为送达；如以传真、短信、即时通讯软件（如微信、QQ、钉钉）、电子邮件等形式进行，则以发出方所使用传真机、手机、即时通讯软件、电子邮件系统等所显示的发出时间为送达日。</w:t>
      </w:r>
    </w:p>
    <w:p>
      <w:pPr>
        <w:pStyle w:val="null3"/>
      </w:pPr>
      <w:r>
        <w:rPr>
          <w:sz w:val="27"/>
        </w:rPr>
        <w:t>十五、其他约定</w:t>
      </w:r>
    </w:p>
    <w:p>
      <w:pPr>
        <w:pStyle w:val="null3"/>
      </w:pPr>
      <w:r>
        <w:rPr>
          <w:sz w:val="27"/>
        </w:rPr>
        <w:t>1. 本合同其他未尽事宜，以项目招投标文件为准；文件未作规定的，应由双方友好协商解决。如需对本合同及其附件作任何修改或补充，须由双方以书面形式做出，并经双方签字盖章后方为有效。修改或补充文件与本合同有不一致的，以修改或补充文件为准。</w:t>
      </w:r>
    </w:p>
    <w:p>
      <w:pPr>
        <w:pStyle w:val="null3"/>
      </w:pPr>
      <w:r>
        <w:rPr>
          <w:sz w:val="27"/>
        </w:rPr>
        <w:t>2. 组成本合同的材料包括_______采购项目(采购编号：_______）的招标文件、乙方投标文件、承诺以及本项目经双方确认的相关材料，合同附件为本合同不可分割的部分。若附件与合同正文有任何不一致，以合同正文为准。</w:t>
      </w:r>
    </w:p>
    <w:p>
      <w:pPr>
        <w:pStyle w:val="null3"/>
      </w:pPr>
      <w:r>
        <w:rPr>
          <w:sz w:val="27"/>
        </w:rPr>
        <w:t>3. 本合同经甲乙双方签字盖章后正式生效。一式6份，甲方持4份，乙方持2份，均为正本，具有同等法律效力。</w:t>
      </w:r>
    </w:p>
    <w:p>
      <w:pPr>
        <w:pStyle w:val="null3"/>
      </w:pPr>
      <w:r>
        <w:rPr>
          <w:sz w:val="27"/>
        </w:rPr>
        <w:t>甲乙双方在此确认，本合同为甲乙双方合法之授权代表于广州市天河区签订。</w:t>
      </w:r>
    </w:p>
    <w:tbl>
      <w:tblPr>
        <w:tblW w:w="0" w:type="auto"/>
        <w:tblBorders>
          <w:top w:val="single"/>
          <w:left w:val="single"/>
          <w:bottom w:val="single"/>
          <w:right w:val="single"/>
          <w:insideH w:val="single"/>
          <w:insideV w:val="single"/>
        </w:tblBorders>
      </w:tblPr>
      <w:tblGrid>
        <w:gridCol w:w="1038"/>
        <w:gridCol w:w="1038"/>
        <w:gridCol w:w="1038"/>
        <w:gridCol w:w="1038"/>
        <w:gridCol w:w="1038"/>
        <w:gridCol w:w="1038"/>
        <w:gridCol w:w="1038"/>
        <w:gridCol w:w="1038"/>
      </w:tblGrid>
      <w:tr>
        <w:tc>
          <w:tcPr>
            <w:tcW w:type="dxa" w:w="1038"/>
          </w:tcPr>
          <w:p>
            <w:pPr>
              <w:pStyle w:val="null3"/>
            </w:pPr>
            <w:r>
              <w:rPr>
                <w:sz w:val="27"/>
              </w:rPr>
              <w:t>甲方</w:t>
            </w:r>
            <w:r>
              <w:br/>
            </w:r>
            <w:r>
              <w:rPr>
                <w:sz w:val="27"/>
              </w:rPr>
              <w:t xml:space="preserve">  名称</w:t>
            </w:r>
          </w:p>
        </w:tc>
        <w:tc>
          <w:tcPr>
            <w:tcW w:type="dxa" w:w="3114"/>
            <w:gridSpan w:val="3"/>
          </w:tcPr>
          <w:p>
            <w:pPr>
              <w:pStyle w:val="null3"/>
            </w:pPr>
            <w:r>
              <w:rPr>
                <w:sz w:val="27"/>
              </w:rPr>
              <w:t xml:space="preserve">广东交通职业技术学院  </w:t>
            </w:r>
          </w:p>
        </w:tc>
        <w:tc>
          <w:tcPr>
            <w:tcW w:type="dxa" w:w="1038"/>
          </w:tcPr>
          <w:p>
            <w:pPr>
              <w:pStyle w:val="null3"/>
            </w:pPr>
            <w:r>
              <w:rPr>
                <w:sz w:val="27"/>
              </w:rPr>
              <w:t>乙方</w:t>
            </w:r>
            <w:r>
              <w:br/>
            </w:r>
            <w:r>
              <w:rPr>
                <w:sz w:val="27"/>
              </w:rPr>
              <w:t xml:space="preserve">  名称</w:t>
            </w:r>
          </w:p>
        </w:tc>
        <w:tc>
          <w:tcPr>
            <w:tcW w:type="dxa" w:w="3114"/>
            <w:gridSpan w:val="3"/>
          </w:tcPr>
          <w:p>
            <w:pPr>
              <w:pStyle w:val="null3"/>
            </w:pPr>
            <w:r>
              <w:rPr>
                <w:sz w:val="27"/>
              </w:rPr>
              <w:t>（必填项）</w:t>
            </w:r>
          </w:p>
        </w:tc>
      </w:tr>
      <w:tr>
        <w:tc>
          <w:tcPr>
            <w:tcW w:type="dxa" w:w="1038"/>
          </w:tcPr>
          <w:p>
            <w:pPr>
              <w:pStyle w:val="null3"/>
            </w:pPr>
            <w:r>
              <w:rPr>
                <w:sz w:val="27"/>
              </w:rPr>
              <w:t>单位</w:t>
            </w:r>
            <w:r>
              <w:br/>
            </w:r>
            <w:r>
              <w:rPr>
                <w:sz w:val="27"/>
              </w:rPr>
              <w:t xml:space="preserve">  地址</w:t>
            </w:r>
          </w:p>
        </w:tc>
        <w:tc>
          <w:tcPr>
            <w:tcW w:type="dxa" w:w="3114"/>
            <w:gridSpan w:val="3"/>
          </w:tcPr>
          <w:p>
            <w:pPr>
              <w:pStyle w:val="null3"/>
            </w:pPr>
            <w:r>
              <w:rPr>
                <w:sz w:val="27"/>
              </w:rPr>
              <w:t xml:space="preserve">广州市天河区天源路789号  </w:t>
            </w:r>
          </w:p>
        </w:tc>
        <w:tc>
          <w:tcPr>
            <w:tcW w:type="dxa" w:w="1038"/>
          </w:tcPr>
          <w:p>
            <w:pPr>
              <w:pStyle w:val="null3"/>
            </w:pPr>
            <w:r>
              <w:rPr>
                <w:sz w:val="27"/>
              </w:rPr>
              <w:t>单位</w:t>
            </w:r>
            <w:r>
              <w:br/>
            </w:r>
            <w:r>
              <w:rPr>
                <w:sz w:val="27"/>
              </w:rPr>
              <w:t xml:space="preserve">  地址</w:t>
            </w:r>
          </w:p>
        </w:tc>
        <w:tc>
          <w:tcPr>
            <w:tcW w:type="dxa" w:w="3114"/>
            <w:gridSpan w:val="3"/>
          </w:tcPr>
          <w:p>
            <w:pPr>
              <w:pStyle w:val="null3"/>
            </w:pPr>
            <w:r>
              <w:rPr>
                <w:sz w:val="27"/>
              </w:rPr>
              <w:t>（必填项）</w:t>
            </w:r>
          </w:p>
        </w:tc>
      </w:tr>
      <w:tr>
        <w:tc>
          <w:tcPr>
            <w:tcW w:type="dxa" w:w="1038"/>
          </w:tcPr>
          <w:p>
            <w:pPr>
              <w:pStyle w:val="null3"/>
            </w:pPr>
            <w:r>
              <w:rPr>
                <w:sz w:val="27"/>
              </w:rPr>
              <w:t>联系人</w:t>
            </w:r>
          </w:p>
        </w:tc>
        <w:tc>
          <w:tcPr>
            <w:tcW w:type="dxa" w:w="1038"/>
          </w:tcPr>
          <w:p>
            <w:pPr>
              <w:pStyle w:val="null3"/>
            </w:pPr>
            <w:r>
              <w:rPr>
                <w:sz w:val="27"/>
              </w:rPr>
              <w:t>（必填项）</w:t>
            </w:r>
          </w:p>
        </w:tc>
        <w:tc>
          <w:tcPr>
            <w:tcW w:type="dxa" w:w="1038"/>
          </w:tcPr>
          <w:p>
            <w:pPr>
              <w:pStyle w:val="null3"/>
            </w:pPr>
            <w:r>
              <w:rPr>
                <w:sz w:val="27"/>
              </w:rPr>
              <w:t>电话</w:t>
            </w:r>
          </w:p>
        </w:tc>
        <w:tc>
          <w:tcPr>
            <w:tcW w:type="dxa" w:w="1038"/>
          </w:tcPr>
          <w:p>
            <w:pPr>
              <w:pStyle w:val="null3"/>
            </w:pPr>
            <w:r>
              <w:rPr>
                <w:sz w:val="27"/>
              </w:rPr>
              <w:t>（必填项）</w:t>
            </w:r>
          </w:p>
        </w:tc>
        <w:tc>
          <w:tcPr>
            <w:tcW w:type="dxa" w:w="1038"/>
          </w:tcPr>
          <w:p>
            <w:pPr>
              <w:pStyle w:val="null3"/>
            </w:pPr>
            <w:r>
              <w:rPr>
                <w:sz w:val="27"/>
              </w:rPr>
              <w:t>联系人</w:t>
            </w:r>
          </w:p>
        </w:tc>
        <w:tc>
          <w:tcPr>
            <w:tcW w:type="dxa" w:w="1038"/>
          </w:tcPr>
          <w:p>
            <w:pPr>
              <w:pStyle w:val="null3"/>
            </w:pPr>
            <w:r>
              <w:rPr>
                <w:sz w:val="27"/>
              </w:rPr>
              <w:t>（必填项）</w:t>
            </w:r>
          </w:p>
        </w:tc>
        <w:tc>
          <w:tcPr>
            <w:tcW w:type="dxa" w:w="1038"/>
          </w:tcPr>
          <w:p>
            <w:pPr>
              <w:pStyle w:val="null3"/>
            </w:pPr>
            <w:r>
              <w:rPr>
                <w:sz w:val="27"/>
              </w:rPr>
              <w:t>电话</w:t>
            </w:r>
          </w:p>
        </w:tc>
        <w:tc>
          <w:tcPr>
            <w:tcW w:type="dxa" w:w="1038"/>
          </w:tcPr>
          <w:p>
            <w:pPr>
              <w:pStyle w:val="null3"/>
            </w:pPr>
            <w:r>
              <w:rPr>
                <w:sz w:val="27"/>
              </w:rPr>
              <w:t>（必填项）</w:t>
            </w:r>
          </w:p>
        </w:tc>
      </w:tr>
      <w:tr>
        <w:tc>
          <w:tcPr>
            <w:tcW w:type="dxa" w:w="1038"/>
          </w:tcPr>
          <w:p>
            <w:pPr>
              <w:pStyle w:val="null3"/>
            </w:pPr>
            <w:r>
              <w:rPr>
                <w:sz w:val="27"/>
              </w:rPr>
              <w:t>传真</w:t>
            </w:r>
          </w:p>
        </w:tc>
        <w:tc>
          <w:tcPr>
            <w:tcW w:type="dxa" w:w="1038"/>
          </w:tcPr>
          <w:p>
            <w:pPr>
              <w:pStyle w:val="null3"/>
            </w:pPr>
            <w:r>
              <w:rPr>
                <w:sz w:val="27"/>
              </w:rPr>
              <w:t>（必填项）</w:t>
            </w:r>
          </w:p>
        </w:tc>
        <w:tc>
          <w:tcPr>
            <w:tcW w:type="dxa" w:w="1038"/>
          </w:tcPr>
          <w:p>
            <w:pPr>
              <w:pStyle w:val="null3"/>
            </w:pPr>
            <w:r>
              <w:rPr>
                <w:sz w:val="27"/>
              </w:rPr>
              <w:t>邮编</w:t>
            </w:r>
          </w:p>
        </w:tc>
        <w:tc>
          <w:tcPr>
            <w:tcW w:type="dxa" w:w="1038"/>
          </w:tcPr>
          <w:p>
            <w:pPr>
              <w:pStyle w:val="null3"/>
            </w:pPr>
            <w:r>
              <w:rPr>
                <w:sz w:val="27"/>
              </w:rPr>
              <w:t>（必填项）</w:t>
            </w:r>
          </w:p>
        </w:tc>
        <w:tc>
          <w:tcPr>
            <w:tcW w:type="dxa" w:w="1038"/>
          </w:tcPr>
          <w:p>
            <w:pPr>
              <w:pStyle w:val="null3"/>
            </w:pPr>
            <w:r>
              <w:rPr>
                <w:sz w:val="27"/>
              </w:rPr>
              <w:t>传真</w:t>
            </w:r>
          </w:p>
        </w:tc>
        <w:tc>
          <w:tcPr>
            <w:tcW w:type="dxa" w:w="1038"/>
          </w:tcPr>
          <w:p>
            <w:pPr>
              <w:pStyle w:val="null3"/>
            </w:pPr>
            <w:r>
              <w:rPr>
                <w:sz w:val="27"/>
              </w:rPr>
              <w:t>（必填项）</w:t>
            </w:r>
          </w:p>
        </w:tc>
        <w:tc>
          <w:tcPr>
            <w:tcW w:type="dxa" w:w="1038"/>
          </w:tcPr>
          <w:p>
            <w:pPr>
              <w:pStyle w:val="null3"/>
            </w:pPr>
            <w:r>
              <w:rPr>
                <w:sz w:val="27"/>
              </w:rPr>
              <w:t>邮编</w:t>
            </w:r>
          </w:p>
        </w:tc>
        <w:tc>
          <w:tcPr>
            <w:tcW w:type="dxa" w:w="1038"/>
          </w:tcPr>
          <w:p>
            <w:pPr>
              <w:pStyle w:val="null3"/>
            </w:pPr>
            <w:r>
              <w:rPr>
                <w:sz w:val="27"/>
              </w:rPr>
              <w:t>（必填项）</w:t>
            </w:r>
          </w:p>
        </w:tc>
      </w:tr>
      <w:tr>
        <w:tc>
          <w:tcPr>
            <w:tcW w:type="dxa" w:w="1038"/>
          </w:tcPr>
          <w:p>
            <w:pPr>
              <w:pStyle w:val="null3"/>
            </w:pPr>
            <w:r>
              <w:rPr>
                <w:sz w:val="27"/>
              </w:rPr>
              <w:t>开户</w:t>
            </w:r>
            <w:r>
              <w:br/>
            </w:r>
            <w:r>
              <w:rPr>
                <w:sz w:val="27"/>
              </w:rPr>
              <w:t xml:space="preserve">  银行</w:t>
            </w:r>
          </w:p>
        </w:tc>
        <w:tc>
          <w:tcPr>
            <w:tcW w:type="dxa" w:w="3114"/>
            <w:gridSpan w:val="3"/>
          </w:tcPr>
          <w:p>
            <w:pPr>
              <w:pStyle w:val="null3"/>
            </w:pPr>
            <w:r>
              <w:rPr>
                <w:sz w:val="27"/>
              </w:rPr>
              <w:t>工商银行广州市元岗支行</w:t>
            </w:r>
          </w:p>
        </w:tc>
        <w:tc>
          <w:tcPr>
            <w:tcW w:type="dxa" w:w="1038"/>
          </w:tcPr>
          <w:p>
            <w:pPr>
              <w:pStyle w:val="null3"/>
            </w:pPr>
            <w:r>
              <w:rPr>
                <w:sz w:val="27"/>
              </w:rPr>
              <w:t>开户</w:t>
            </w:r>
            <w:r>
              <w:br/>
            </w:r>
            <w:r>
              <w:rPr>
                <w:sz w:val="27"/>
              </w:rPr>
              <w:t xml:space="preserve">  银行</w:t>
            </w:r>
          </w:p>
        </w:tc>
        <w:tc>
          <w:tcPr>
            <w:tcW w:type="dxa" w:w="3114"/>
            <w:gridSpan w:val="3"/>
          </w:tcPr>
          <w:p>
            <w:pPr>
              <w:pStyle w:val="null3"/>
            </w:pPr>
            <w:r>
              <w:rPr>
                <w:sz w:val="27"/>
              </w:rPr>
              <w:t>（必填项）</w:t>
            </w:r>
          </w:p>
        </w:tc>
      </w:tr>
      <w:tr>
        <w:tc>
          <w:tcPr>
            <w:tcW w:type="dxa" w:w="1038"/>
          </w:tcPr>
          <w:p>
            <w:pPr>
              <w:pStyle w:val="null3"/>
            </w:pPr>
            <w:r>
              <w:rPr>
                <w:sz w:val="27"/>
              </w:rPr>
              <w:t>银行</w:t>
            </w:r>
            <w:r>
              <w:br/>
            </w:r>
            <w:r>
              <w:rPr>
                <w:sz w:val="27"/>
              </w:rPr>
              <w:t xml:space="preserve">  帐号</w:t>
            </w:r>
          </w:p>
        </w:tc>
        <w:tc>
          <w:tcPr>
            <w:tcW w:type="dxa" w:w="3114"/>
            <w:gridSpan w:val="3"/>
          </w:tcPr>
          <w:p>
            <w:pPr>
              <w:pStyle w:val="null3"/>
            </w:pPr>
            <w:r>
              <w:rPr>
                <w:sz w:val="27"/>
              </w:rPr>
              <w:t xml:space="preserve"> 3602078209000282877</w:t>
            </w:r>
          </w:p>
        </w:tc>
        <w:tc>
          <w:tcPr>
            <w:tcW w:type="dxa" w:w="1038"/>
          </w:tcPr>
          <w:p>
            <w:pPr>
              <w:pStyle w:val="null3"/>
            </w:pPr>
            <w:r>
              <w:rPr>
                <w:sz w:val="27"/>
              </w:rPr>
              <w:t>银行</w:t>
            </w:r>
            <w:r>
              <w:br/>
            </w:r>
            <w:r>
              <w:rPr>
                <w:sz w:val="27"/>
              </w:rPr>
              <w:t xml:space="preserve">  帐号</w:t>
            </w:r>
          </w:p>
        </w:tc>
        <w:tc>
          <w:tcPr>
            <w:tcW w:type="dxa" w:w="3114"/>
            <w:gridSpan w:val="3"/>
          </w:tcPr>
          <w:p>
            <w:pPr>
              <w:pStyle w:val="null3"/>
            </w:pPr>
            <w:r>
              <w:rPr>
                <w:sz w:val="27"/>
              </w:rPr>
              <w:t>（必填项）</w:t>
            </w:r>
          </w:p>
        </w:tc>
      </w:tr>
      <w:tr>
        <w:tc>
          <w:tcPr>
            <w:tcW w:type="dxa" w:w="1038"/>
          </w:tcPr>
          <w:p>
            <w:pPr>
              <w:pStyle w:val="null3"/>
            </w:pPr>
            <w:r>
              <w:rPr>
                <w:sz w:val="27"/>
              </w:rPr>
              <w:t>法定代表人/委托代理人</w:t>
            </w:r>
          </w:p>
        </w:tc>
        <w:tc>
          <w:tcPr>
            <w:tcW w:type="dxa" w:w="3114"/>
            <w:gridSpan w:val="3"/>
            <w:vMerge w:val="restart"/>
          </w:tcPr>
          <w:p>
            <w:pPr>
              <w:pStyle w:val="null3"/>
            </w:pPr>
            <w:r>
              <w:rPr>
                <w:sz w:val="27"/>
              </w:rPr>
              <w:t xml:space="preserve"> （必填项）</w:t>
            </w:r>
          </w:p>
        </w:tc>
        <w:tc>
          <w:tcPr>
            <w:tcW w:type="dxa" w:w="1038"/>
          </w:tcPr>
          <w:p>
            <w:pPr>
              <w:pStyle w:val="null3"/>
            </w:pPr>
            <w:r>
              <w:rPr>
                <w:sz w:val="27"/>
              </w:rPr>
              <w:t>法定代表人/委托代理人</w:t>
            </w:r>
          </w:p>
        </w:tc>
        <w:tc>
          <w:tcPr>
            <w:tcW w:type="dxa" w:w="3114"/>
            <w:gridSpan w:val="3"/>
            <w:vMerge w:val="restart"/>
          </w:tcPr>
          <w:p>
            <w:pPr>
              <w:pStyle w:val="null3"/>
            </w:pPr>
            <w:r>
              <w:rPr>
                <w:sz w:val="27"/>
              </w:rPr>
              <w:t xml:space="preserve"> （必填项）</w:t>
            </w:r>
          </w:p>
        </w:tc>
      </w:tr>
      <w:tr>
        <w:tc>
          <w:tcPr>
            <w:tcW w:type="dxa" w:w="1038"/>
          </w:tcPr>
          <w:p>
            <w:pPr>
              <w:pStyle w:val="null3"/>
            </w:pPr>
            <w:r>
              <w:rPr>
                <w:sz w:val="27"/>
              </w:rPr>
              <w:t>签订日期、甲方盖章</w:t>
            </w:r>
          </w:p>
        </w:tc>
        <w:tc>
          <w:tcPr>
            <w:tcW w:type="dxa" w:w="3114"/>
            <w:gridSpan w:val="3"/>
            <w:vMerge/>
          </w:tcPr>
          <w:p/>
        </w:tc>
        <w:tc>
          <w:tcPr>
            <w:tcW w:type="dxa" w:w="1038"/>
          </w:tcPr>
          <w:p>
            <w:pPr>
              <w:pStyle w:val="null3"/>
            </w:pPr>
            <w:r>
              <w:rPr>
                <w:sz w:val="27"/>
              </w:rPr>
              <w:t>签订日期、乙方盖章</w:t>
            </w:r>
          </w:p>
        </w:tc>
        <w:tc>
          <w:tcPr>
            <w:tcW w:type="dxa" w:w="3114"/>
            <w:gridSpan w:val="3"/>
            <w:vMerge/>
          </w:tcPr>
          <w:p/>
        </w:tc>
      </w:tr>
    </w:tbl>
    <w:p>
      <w:pPr>
        <w:pStyle w:val="null3"/>
      </w:pPr>
      <w:r>
        <w:rPr/>
        <w:t xml:space="preserve">  </w:t>
      </w:r>
    </w:p>
    <w:p>
      <w:pPr>
        <w:pStyle w:val="null3"/>
        <w:jc w:val="center"/>
        <w:outlineLvl w:val="1"/>
      </w:pPr>
      <w:r>
        <w:rPr>
          <w:sz w:val="36"/>
          <w:b/>
        </w:rPr>
        <w:t>第六章 投标文件格式与要求</w:t>
      </w:r>
    </w:p>
    <w:p>
      <w:pPr>
        <w:pStyle w:val="null3"/>
        <w:ind w:firstLine="480"/>
      </w:pPr>
      <w:r>
        <w:rPr/>
        <w:t>投标人应提交证明其有资格参加投标和中标后有能力履行合同的相关文件，并作为其投标文件的一部分，所有文件必须真实可靠、不得伪造，否则将按相关规定予以处罚。</w:t>
      </w:r>
    </w:p>
    <w:p>
      <w:pPr>
        <w:pStyle w:val="null3"/>
        <w:ind w:firstLine="480"/>
      </w:pPr>
      <w:r>
        <w:rPr/>
        <w:t>1.法人或者其他组织的营业执照等证明文件，自然人的身份证明：</w:t>
      </w:r>
    </w:p>
    <w:p>
      <w:pPr>
        <w:pStyle w:val="null3"/>
        <w:ind w:firstLine="480"/>
      </w:pPr>
      <w:r>
        <w:rPr/>
        <w:t xml:space="preserve"> 法人包括企业法人、机关法人、事业单位法人和社会团体法人；其他组织主要包括合伙企业、非企业专业服务机构、个体工商户、农村承包经营户；自然人是指《中华人民共和国民法典》（以下简称《民法典》）规定的具有完全民事行为能力、能够承担民事责任和义务的公民。如投标人是企业（包括合伙企业），要提供在工商部门注册的有效“企业法人营业执照”或“营业执照”；如投标人是事业单位，要提供有效的“事业单位法人证书”；投标人是非企业专业服务机构的，如律师事务所，会计师事务所要提供执业许可证等证明文件；如投标人是个体工商户，要提供有效的“个体工商户营业执照”；如投标人是自然人，要提供有效的自然人身份证明。</w:t>
      </w:r>
    </w:p>
    <w:p>
      <w:pPr>
        <w:pStyle w:val="null3"/>
        <w:ind w:firstLine="480"/>
      </w:pPr>
      <w:r>
        <w:rPr/>
        <w:t xml:space="preserve"> 这里所指“其他组织”不包括法人的分支机构，由于法人分支机构不能独立承担民事责任，不能以分支机构的身份参加政府采购，只能以法人身份参加。“但由于银行、保险、石油石化、电力、电信等行业具有其特殊性，如果能够提供其法人给予的相应授权证明材料，可以参加政府采购活动”。</w:t>
      </w:r>
    </w:p>
    <w:p>
      <w:pPr>
        <w:pStyle w:val="null3"/>
        <w:ind w:firstLine="480"/>
      </w:pPr>
      <w:r>
        <w:rPr/>
        <w:t>2.财务状况报告，依法缴纳税收和社会保障资金的相关材料（详见资格性审查表要求）</w:t>
      </w:r>
    </w:p>
    <w:p>
      <w:pPr>
        <w:pStyle w:val="null3"/>
        <w:ind w:firstLine="480"/>
      </w:pPr>
      <w:r>
        <w:rPr/>
        <w:t>3.具有履行合同所必需的设备和专业技术能力的声明。</w:t>
      </w:r>
    </w:p>
    <w:p>
      <w:pPr>
        <w:pStyle w:val="null3"/>
        <w:ind w:firstLine="480"/>
      </w:pPr>
      <w:r>
        <w:rPr/>
        <w:t>4.投标人参加政府采购前三年内在经营活动中没有重大违法记录书面声明函。</w:t>
      </w:r>
    </w:p>
    <w:p>
      <w:pPr>
        <w:pStyle w:val="null3"/>
        <w:ind w:firstLine="480"/>
      </w:pPr>
      <w:r>
        <w:rPr/>
        <w:t>5.信用记录查询</w:t>
      </w:r>
    </w:p>
    <w:p>
      <w:pPr>
        <w:pStyle w:val="null3"/>
        <w:ind w:firstLine="480"/>
      </w:pPr>
      <w:r>
        <w:rPr/>
        <w:t>（1）查询渠道：通过“信用中国”网站(www.creditchina.gov.cn)和“中国政府采购网”（www.ccgp.gov.cn）进行查询；</w:t>
      </w:r>
    </w:p>
    <w:p>
      <w:pPr>
        <w:pStyle w:val="null3"/>
        <w:ind w:firstLine="480"/>
      </w:pPr>
      <w:r>
        <w:rPr/>
        <w:t>（2）查询截止时点：提交投标文件截止日当天；</w:t>
      </w:r>
    </w:p>
    <w:p>
      <w:pPr>
        <w:pStyle w:val="null3"/>
        <w:ind w:firstLine="480"/>
      </w:pPr>
      <w:r>
        <w:rPr/>
        <w:t>（3）查询记录：对列入失信被执行人、重大税收违法案件当事人名单、政府采购严重违法失信行为记录名单、信用报告进行查询；</w:t>
      </w:r>
    </w:p>
    <w:p>
      <w:pPr>
        <w:pStyle w:val="null3"/>
        <w:ind w:firstLine="480"/>
      </w:pPr>
      <w:r>
        <w:rPr/>
        <w:t xml:space="preserve"> 采购人或采购代理机构应当按照查询渠道、查询时间节点、查询记录内容进行查询，并存档。对信用记录查询结果中显示投标人被列入失信被执行人、重大税收违法案件当事人名单、政府采购严重违法失信行为记录名单的投标人作无效投标处理。</w:t>
      </w:r>
    </w:p>
    <w:p>
      <w:pPr>
        <w:pStyle w:val="null3"/>
        <w:ind w:firstLine="480"/>
      </w:pPr>
      <w:r>
        <w:rPr/>
        <w:t>6. 按照招标文件要求，投标人应当提交的资格、资信证明文件。</w:t>
      </w:r>
    </w:p>
    <w:p>
      <w:pPr>
        <w:pStyle w:val="null3"/>
        <w:ind w:firstLine="480"/>
      </w:pPr>
      <w:r>
        <w:rPr/>
        <w:t xml:space="preserve">  </w:t>
      </w:r>
      <w:r>
        <w:br/>
      </w:r>
    </w:p>
    <w:p>
      <w:pPr>
        <w:pStyle w:val="null3"/>
        <w:jc w:val="center"/>
        <w:outlineLvl w:val="0"/>
      </w:pPr>
      <w:r>
        <w:rPr>
          <w:sz w:val="48"/>
          <w:b/>
        </w:rPr>
        <w:t>投标文件封面</w:t>
      </w:r>
    </w:p>
    <w:p>
      <w:pPr>
        <w:pStyle w:val="null3"/>
        <w:outlineLvl w:val="0"/>
      </w:pPr>
      <w:r>
        <w:rPr>
          <w:sz w:val="48"/>
          <w:b/>
        </w:rPr>
        <w:t>（项目名称）</w:t>
      </w:r>
    </w:p>
    <w:p>
      <w:pPr>
        <w:pStyle w:val="null3"/>
        <w:jc w:val="center"/>
        <w:outlineLvl w:val="0"/>
      </w:pPr>
      <w:r>
        <w:rPr>
          <w:sz w:val="48"/>
          <w:b/>
        </w:rPr>
        <w:t>投标文件封面</w:t>
      </w:r>
    </w:p>
    <w:p>
      <w:pPr>
        <w:pStyle w:val="null3"/>
        <w:jc w:val="center"/>
        <w:outlineLvl w:val="0"/>
      </w:pPr>
      <w:r>
        <w:rPr>
          <w:sz w:val="48"/>
          <w:b/>
        </w:rPr>
        <w:t>（正本/副本）</w:t>
      </w:r>
      <w:r>
        <w:br/>
      </w:r>
      <w:r>
        <w:br/>
      </w:r>
      <w:r>
        <w:br/>
      </w:r>
      <w:r>
        <w:br/>
      </w:r>
      <w:r>
        <w:br/>
      </w:r>
      <w:r>
        <w:br/>
      </w:r>
      <w:r>
        <w:br/>
      </w:r>
      <w:r>
        <w:br/>
      </w:r>
      <w:r>
        <w:br/>
      </w:r>
      <w:r>
        <w:br/>
      </w:r>
      <w:r>
        <w:br/>
      </w:r>
      <w:r>
        <w:br/>
      </w:r>
      <w:r>
        <w:br/>
      </w:r>
      <w:r>
        <w:br/>
      </w:r>
      <w:r>
        <w:br/>
      </w:r>
      <w:r>
        <w:br/>
      </w:r>
      <w:r>
        <w:br/>
      </w:r>
      <w:r>
        <w:br/>
      </w:r>
      <w:r>
        <w:br/>
      </w:r>
      <w:r>
        <w:br/>
      </w:r>
      <w:r>
        <w:br/>
      </w:r>
    </w:p>
    <w:p>
      <w:pPr>
        <w:pStyle w:val="null3"/>
        <w:jc w:val="center"/>
        <w:outlineLvl w:val="3"/>
      </w:pPr>
      <w:r>
        <w:rPr>
          <w:sz w:val="24"/>
          <w:b/>
        </w:rPr>
        <w:t>采购计划编号：</w:t>
      </w:r>
      <w:r>
        <w:rPr>
          <w:sz w:val="24"/>
          <w:b/>
        </w:rPr>
        <w:t>440001-2025-58392</w:t>
      </w:r>
    </w:p>
    <w:p>
      <w:pPr>
        <w:pStyle w:val="null3"/>
        <w:jc w:val="center"/>
        <w:outlineLvl w:val="3"/>
      </w:pPr>
      <w:r>
        <w:rPr>
          <w:sz w:val="24"/>
          <w:b/>
        </w:rPr>
        <w:t>采购项目编号：</w:t>
      </w:r>
      <w:r>
        <w:rPr>
          <w:sz w:val="24"/>
          <w:b/>
        </w:rPr>
        <w:t>1210-2541YDZB9562</w:t>
      </w:r>
    </w:p>
    <w:p>
      <w:pPr>
        <w:pStyle w:val="null3"/>
        <w:jc w:val="center"/>
        <w:outlineLvl w:val="3"/>
      </w:pPr>
      <w:r>
        <w:rPr>
          <w:sz w:val="24"/>
          <w:b/>
        </w:rPr>
        <w:t>所投采购包：第 包</w:t>
      </w:r>
    </w:p>
    <w:p>
      <w:pPr>
        <w:pStyle w:val="null3"/>
        <w:outlineLvl w:val="3"/>
      </w:pPr>
      <w:r>
        <w:rPr>
          <w:sz w:val="24"/>
          <w:b/>
        </w:rPr>
        <w:t>（投标人名称）</w:t>
      </w:r>
    </w:p>
    <w:p>
      <w:pPr>
        <w:pStyle w:val="null3"/>
        <w:jc w:val="center"/>
        <w:outlineLvl w:val="3"/>
      </w:pPr>
      <w:r>
        <w:rPr>
          <w:sz w:val="24"/>
          <w:b/>
        </w:rPr>
        <w:t xml:space="preserve"> 年 月 日</w:t>
      </w:r>
    </w:p>
    <w:p>
      <w:pPr>
        <w:pStyle w:val="null3"/>
        <w:ind w:firstLine="480"/>
      </w:pPr>
      <w:r>
        <w:rPr/>
        <w:t xml:space="preserve">  </w:t>
      </w:r>
    </w:p>
    <w:p>
      <w:pPr>
        <w:pStyle w:val="null3"/>
        <w:jc w:val="center"/>
        <w:outlineLvl w:val="3"/>
      </w:pPr>
      <w:r>
        <w:rPr>
          <w:sz w:val="24"/>
          <w:b/>
        </w:rPr>
        <w:t>投标文件目录</w:t>
      </w:r>
    </w:p>
    <w:p>
      <w:pPr>
        <w:pStyle w:val="null3"/>
        <w:ind w:firstLine="480"/>
      </w:pPr>
      <w:r>
        <w:rPr/>
        <w:t>一、投标函</w:t>
      </w:r>
    </w:p>
    <w:p>
      <w:pPr>
        <w:pStyle w:val="null3"/>
        <w:ind w:firstLine="480"/>
      </w:pPr>
      <w:r>
        <w:rPr/>
        <w:t>二、开标一览表</w:t>
      </w:r>
    </w:p>
    <w:p>
      <w:pPr>
        <w:pStyle w:val="null3"/>
        <w:ind w:firstLine="480"/>
      </w:pPr>
      <w:r>
        <w:rPr/>
        <w:t>三、分项报价表</w:t>
      </w:r>
    </w:p>
    <w:p>
      <w:pPr>
        <w:pStyle w:val="null3"/>
        <w:ind w:firstLine="480"/>
      </w:pPr>
      <w:r>
        <w:rPr/>
        <w:t>四、政策适用性说明</w:t>
      </w:r>
    </w:p>
    <w:p>
      <w:pPr>
        <w:pStyle w:val="null3"/>
        <w:ind w:firstLine="480"/>
      </w:pPr>
      <w:r>
        <w:rPr/>
        <w:t>五、法定代表人证明书</w:t>
      </w:r>
    </w:p>
    <w:p>
      <w:pPr>
        <w:pStyle w:val="null3"/>
        <w:ind w:firstLine="480"/>
      </w:pPr>
      <w:r>
        <w:rPr/>
        <w:t>六、法定代表人授权书</w:t>
      </w:r>
    </w:p>
    <w:p>
      <w:pPr>
        <w:pStyle w:val="null3"/>
        <w:ind w:firstLine="480"/>
      </w:pPr>
      <w:r>
        <w:rPr/>
        <w:t>七、投标保证金</w:t>
      </w:r>
    </w:p>
    <w:p>
      <w:pPr>
        <w:pStyle w:val="null3"/>
        <w:ind w:firstLine="480"/>
      </w:pPr>
      <w:r>
        <w:rPr/>
        <w:t>八、提供具有独立承担民事责任的能力的证明材料</w:t>
      </w:r>
    </w:p>
    <w:p>
      <w:pPr>
        <w:pStyle w:val="null3"/>
        <w:ind w:firstLine="480"/>
      </w:pPr>
      <w:r>
        <w:rPr/>
        <w:t>九、资格性审查要求的其他资质证明文件</w:t>
      </w:r>
    </w:p>
    <w:p>
      <w:pPr>
        <w:pStyle w:val="null3"/>
        <w:ind w:firstLine="480"/>
      </w:pPr>
      <w:r>
        <w:rPr/>
        <w:t>十、承诺函</w:t>
      </w:r>
    </w:p>
    <w:p>
      <w:pPr>
        <w:pStyle w:val="null3"/>
        <w:ind w:firstLine="480"/>
      </w:pPr>
      <w:r>
        <w:rPr/>
        <w:t>十一、中小企业声明函</w:t>
      </w:r>
    </w:p>
    <w:p>
      <w:pPr>
        <w:pStyle w:val="null3"/>
        <w:ind w:firstLine="480"/>
      </w:pPr>
      <w:r>
        <w:rPr/>
        <w:t>十二、监狱企业</w:t>
      </w:r>
    </w:p>
    <w:p>
      <w:pPr>
        <w:pStyle w:val="null3"/>
        <w:ind w:firstLine="480"/>
      </w:pPr>
      <w:r>
        <w:rPr/>
        <w:t>十三、残疾人福利性单位声明函</w:t>
      </w:r>
    </w:p>
    <w:p>
      <w:pPr>
        <w:pStyle w:val="null3"/>
        <w:ind w:firstLine="480"/>
      </w:pPr>
      <w:r>
        <w:rPr/>
        <w:t>十四、联合体共同投标协议书</w:t>
      </w:r>
    </w:p>
    <w:p>
      <w:pPr>
        <w:pStyle w:val="null3"/>
        <w:ind w:firstLine="480"/>
      </w:pPr>
      <w:r>
        <w:rPr/>
        <w:t>十五、投标人业绩情况表</w:t>
      </w:r>
    </w:p>
    <w:p>
      <w:pPr>
        <w:pStyle w:val="null3"/>
        <w:ind w:firstLine="480"/>
      </w:pPr>
      <w:r>
        <w:rPr/>
        <w:t>十六、技术和服务要求响应表</w:t>
      </w:r>
    </w:p>
    <w:p>
      <w:pPr>
        <w:pStyle w:val="null3"/>
        <w:ind w:firstLine="480"/>
      </w:pPr>
      <w:r>
        <w:rPr/>
        <w:t>十七、商务条件响应表</w:t>
      </w:r>
    </w:p>
    <w:p>
      <w:pPr>
        <w:pStyle w:val="null3"/>
        <w:ind w:firstLine="480"/>
      </w:pPr>
      <w:r>
        <w:rPr/>
        <w:t>十八、履约进度计划表</w:t>
      </w:r>
    </w:p>
    <w:p>
      <w:pPr>
        <w:pStyle w:val="null3"/>
        <w:ind w:firstLine="480"/>
      </w:pPr>
      <w:r>
        <w:rPr/>
        <w:t>十九、各类证明材料</w:t>
      </w:r>
    </w:p>
    <w:p>
      <w:pPr>
        <w:pStyle w:val="null3"/>
        <w:ind w:firstLine="480"/>
      </w:pPr>
      <w:r>
        <w:rPr/>
        <w:t>二十、采购代理服务费支付承诺书</w:t>
      </w:r>
    </w:p>
    <w:p>
      <w:pPr>
        <w:pStyle w:val="null3"/>
        <w:ind w:firstLine="480"/>
      </w:pPr>
      <w:r>
        <w:rPr/>
        <w:t>二十一、需要采购人提供的附加条件</w:t>
      </w:r>
    </w:p>
    <w:p>
      <w:pPr>
        <w:pStyle w:val="null3"/>
        <w:ind w:firstLine="480"/>
      </w:pPr>
      <w:r>
        <w:rPr/>
        <w:t>二十二、询问函、质疑函、投诉书格式</w:t>
      </w:r>
    </w:p>
    <w:p>
      <w:pPr>
        <w:pStyle w:val="null3"/>
        <w:ind w:firstLine="480"/>
      </w:pPr>
      <w:r>
        <w:rPr/>
        <w:t>二十三、项目实施方案、质量保证及售后服务承诺等</w:t>
      </w:r>
    </w:p>
    <w:p>
      <w:pPr>
        <w:pStyle w:val="null3"/>
        <w:ind w:firstLine="480"/>
      </w:pPr>
      <w:r>
        <w:rPr/>
        <w:t>二十四、附件</w:t>
      </w:r>
    </w:p>
    <w:p>
      <w:pPr>
        <w:pStyle w:val="null3"/>
        <w:ind w:firstLine="480"/>
      </w:pPr>
      <w:r>
        <w:rPr/>
        <w:t>二十五、政府采购履约担保函、采购合同履约保险凭证</w:t>
      </w:r>
    </w:p>
    <w:p>
      <w:pPr>
        <w:pStyle w:val="null3"/>
        <w:ind w:firstLine="480"/>
      </w:pPr>
      <w:r>
        <w:rPr/>
        <w:t xml:space="preserve">  </w:t>
      </w:r>
    </w:p>
    <w:p>
      <w:pPr>
        <w:pStyle w:val="null3"/>
        <w:outlineLvl w:val="2"/>
      </w:pPr>
      <w:r>
        <w:rPr>
          <w:sz w:val="28"/>
          <w:b/>
        </w:rPr>
        <w:t>格式一：</w:t>
      </w:r>
    </w:p>
    <w:p>
      <w:pPr>
        <w:pStyle w:val="null3"/>
        <w:jc w:val="center"/>
        <w:outlineLvl w:val="3"/>
      </w:pPr>
      <w:r>
        <w:rPr>
          <w:sz w:val="24"/>
          <w:b/>
        </w:rPr>
        <w:t>投标函</w:t>
      </w:r>
    </w:p>
    <w:p>
      <w:pPr>
        <w:pStyle w:val="null3"/>
        <w:ind w:firstLine="480"/>
      </w:pPr>
      <w:r>
        <w:rPr/>
        <w:t xml:space="preserve"> 致：</w:t>
      </w:r>
      <w:r>
        <w:rPr>
          <w:u w:val="single"/>
        </w:rPr>
        <w:t>广东有德招标采购有限公司</w:t>
      </w:r>
    </w:p>
    <w:p>
      <w:pPr>
        <w:pStyle w:val="null3"/>
        <w:ind w:firstLine="480"/>
      </w:pPr>
      <w:r>
        <w:rPr/>
        <w:t xml:space="preserve"> 你方组织的</w:t>
      </w:r>
      <w:r>
        <w:rPr>
          <w:u w:val="single"/>
        </w:rPr>
        <w:t>“</w:t>
      </w:r>
      <w:r>
        <w:rPr>
          <w:u w:val="single"/>
        </w:rPr>
        <w:t>广东交通职业技术学院智慧校园综合服务平台三期建设项目</w:t>
      </w:r>
      <w:r>
        <w:rPr>
          <w:u w:val="single"/>
        </w:rPr>
        <w:t>”</w:t>
      </w:r>
      <w:r>
        <w:rPr/>
        <w:t>项目的招标[采购项目编号为：</w:t>
      </w:r>
      <w:r>
        <w:rPr>
          <w:u w:val="single"/>
        </w:rPr>
        <w:t>1210-2541YDZB9562</w:t>
      </w:r>
      <w:r>
        <w:rPr/>
        <w:t>]，我方愿参与投标。</w:t>
      </w:r>
    </w:p>
    <w:p>
      <w:pPr>
        <w:pStyle w:val="null3"/>
        <w:ind w:firstLine="480"/>
      </w:pPr>
      <w:r>
        <w:rPr>
          <w:u w:val="single"/>
        </w:rPr>
        <w:t>(投标人名称)</w:t>
      </w:r>
      <w:r>
        <w:rPr/>
        <w:t>作为投标人正式授权</w:t>
      </w:r>
      <w:r>
        <w:rPr>
          <w:u w:val="single"/>
        </w:rPr>
        <w:t>(授权代表全名,职务)</w:t>
      </w:r>
      <w:r>
        <w:rPr/>
        <w:t>代表我方全权处理有关本投标的一切事宜。</w:t>
      </w:r>
    </w:p>
    <w:p>
      <w:pPr>
        <w:pStyle w:val="null3"/>
        <w:ind w:firstLine="480"/>
      </w:pPr>
      <w:r>
        <w:rPr/>
        <w:t>我方确认收到贵方提供的</w:t>
      </w:r>
      <w:r>
        <w:rPr>
          <w:u w:val="single"/>
        </w:rPr>
        <w:t>“</w:t>
      </w:r>
      <w:r>
        <w:rPr>
          <w:u w:val="single"/>
        </w:rPr>
        <w:t>广东交通职业技术学院智慧校园综合服务平台三期建设项目</w:t>
      </w:r>
      <w:r>
        <w:rPr>
          <w:u w:val="single"/>
        </w:rPr>
        <w:t>”</w:t>
      </w:r>
      <w:r>
        <w:rPr/>
        <w:t>项目的招标文件的全部内容。</w:t>
      </w:r>
    </w:p>
    <w:p>
      <w:pPr>
        <w:pStyle w:val="null3"/>
        <w:ind w:firstLine="480"/>
      </w:pPr>
      <w:r>
        <w:rPr/>
        <w:t>我方已完全明白招标文件的所有条款要求，并申明如下：</w:t>
      </w:r>
    </w:p>
    <w:p>
      <w:pPr>
        <w:pStyle w:val="null3"/>
        <w:ind w:firstLine="480"/>
      </w:pPr>
      <w:r>
        <w:rPr/>
        <w:t xml:space="preserve"> （一）按招标文件提供全部标的投标总价详见《开标一览表》。</w:t>
      </w:r>
    </w:p>
    <w:p>
      <w:pPr>
        <w:pStyle w:val="null3"/>
        <w:ind w:firstLine="480"/>
      </w:pPr>
      <w:r>
        <w:rPr/>
        <w:t xml:space="preserve"> （二）本投标文件的有效期为</w:t>
      </w:r>
      <w:r>
        <w:rPr/>
        <w:t>从提交投标（响应）文件的截止之日起90日历天</w:t>
      </w:r>
      <w:r>
        <w:rPr/>
        <w:t>。在此提交的资格证明文件均至投标截止日有效，如有在投标有效期内失效的，我方承诺在中标后补齐一切手续，保证所有资格证明文件直至采购合同终止日有效。</w:t>
      </w:r>
    </w:p>
    <w:p>
      <w:pPr>
        <w:pStyle w:val="null3"/>
        <w:ind w:firstLine="480"/>
      </w:pPr>
      <w:r>
        <w:rPr/>
        <w:t xml:space="preserve"> （三）我方明白并同意，在规定的开标日之后，投标有效期之内撤销投标或中标后不按规定与采购人签订合同或不提交履约保证金, 则贵方将不予退还投标保证金。</w:t>
      </w:r>
    </w:p>
    <w:p>
      <w:pPr>
        <w:pStyle w:val="null3"/>
        <w:ind w:firstLine="480"/>
      </w:pPr>
      <w:r>
        <w:rPr/>
        <w:t xml:space="preserve"> （四）我方愿意向贵方提供任何与本项报价有关的数据、情况和技术资料。若贵方需要，我方愿意提供我方作出的一切承诺的证明材料。</w:t>
      </w:r>
    </w:p>
    <w:p>
      <w:pPr>
        <w:pStyle w:val="null3"/>
        <w:ind w:firstLine="480"/>
      </w:pPr>
      <w:r>
        <w:rPr/>
        <w:t xml:space="preserve"> （五）我方理解贵方不一定接受最低投标价或任何贵方可能收到的投标。</w:t>
      </w:r>
    </w:p>
    <w:p>
      <w:pPr>
        <w:pStyle w:val="null3"/>
        <w:ind w:firstLine="480"/>
      </w:pPr>
      <w:r>
        <w:rPr/>
        <w:t xml:space="preserve"> （六）我方如果中标，将保证履行招标（采购）文件及其澄清、修改文件（如果有）以及投标（响应）文件中的全部责任和义务，按质、按量、按期完成《合同书》中的全部任务。</w:t>
      </w:r>
    </w:p>
    <w:p>
      <w:pPr>
        <w:pStyle w:val="null3"/>
        <w:ind w:firstLine="480"/>
      </w:pPr>
      <w:r>
        <w:rPr/>
        <w:t xml:space="preserve"> （七）我方作为法律、财务和运作上独立于采购人、采购代理机构的投标人，在此保证所提交的所有文件和全部说明是真实的和正确的。</w:t>
      </w:r>
    </w:p>
    <w:p>
      <w:pPr>
        <w:pStyle w:val="null3"/>
        <w:ind w:firstLine="480"/>
      </w:pPr>
      <w:r>
        <w:rPr/>
        <w:t xml:space="preserve"> （八）我方投标报价已包含应向知识产权所有权人支付的所有相关税费，并保证采购人在中国使用我方提供的标的时，如有第三方提出侵犯其知识产权主张的，责任由我方承担。</w:t>
      </w:r>
    </w:p>
    <w:p>
      <w:pPr>
        <w:pStyle w:val="null3"/>
        <w:ind w:firstLine="480"/>
      </w:pPr>
      <w:r>
        <w:rPr/>
        <w:t xml:space="preserve"> （九）我方接受采购人委托向贵方支付代理服务费，项目总报价已包含代理服务费，如果被确定为中标人，承诺向贵方足额支付。（若采购人支付代理服务费，则此条不适用）</w:t>
      </w:r>
    </w:p>
    <w:p>
      <w:pPr>
        <w:pStyle w:val="null3"/>
        <w:ind w:firstLine="480"/>
      </w:pPr>
      <w:r>
        <w:rPr/>
        <w:t xml:space="preserve"> （十）我方与其他投标人不存在单位负责人为同一人或者存在直接控股、管理关系。</w:t>
      </w:r>
    </w:p>
    <w:p>
      <w:pPr>
        <w:pStyle w:val="null3"/>
        <w:ind w:firstLine="480"/>
      </w:pPr>
      <w:r>
        <w:rPr/>
        <w:t xml:space="preserve"> （十一）投标人未存在《政府采购法实施条例》第十八条第二款规定的情形：</w:t>
      </w:r>
    </w:p>
    <w:p>
      <w:pPr>
        <w:pStyle w:val="null3"/>
        <w:ind w:firstLine="480"/>
      </w:pPr>
      <w:r>
        <w:rPr/>
        <w:t>（1）对于除整体设计、规范编制或者项目管理、监理、检测等服务以外的采购项目:即未为本项目提供整体设计、规范编制或者项目管理、监理、检测等服务；</w:t>
      </w:r>
    </w:p>
    <w:p>
      <w:pPr>
        <w:pStyle w:val="null3"/>
        <w:ind w:firstLine="480"/>
      </w:pPr>
      <w:r>
        <w:rPr/>
        <w:t>（2）对于整体设计、规范编制或者项目管理、监理、检测等服务的项目:即未成为本项目除前期整体设计、规范编制或者项目管理、监理、检测等服务以外的其它采购活动中标商(或成交商)；</w:t>
      </w:r>
    </w:p>
    <w:p>
      <w:pPr>
        <w:pStyle w:val="null3"/>
        <w:ind w:firstLine="480"/>
      </w:pPr>
      <w:r>
        <w:rPr/>
        <w:t>（3）对于设计施工一体化的项目:即未为本项目提供规范编制或者项目管理、监理、检测等服务。</w:t>
      </w:r>
    </w:p>
    <w:p>
      <w:pPr>
        <w:pStyle w:val="null3"/>
        <w:ind w:firstLine="480"/>
      </w:pPr>
      <w:r>
        <w:rPr/>
        <w:t>（十二）我方承诺遵守《中华人民共和国民法典》有关规定和《中华人民共和国妇女权益保障法》中关于“劳动和社会保障权益”的有关要求。</w:t>
      </w:r>
    </w:p>
    <w:p>
      <w:pPr>
        <w:pStyle w:val="null3"/>
        <w:ind w:firstLine="480"/>
      </w:pPr>
      <w:r>
        <w:rPr/>
        <w:t>（十三）我方具备《中华人民共和国政府采购法》第二十二条规定的条件，声明如下：</w:t>
      </w:r>
    </w:p>
    <w:p>
      <w:pPr>
        <w:pStyle w:val="null3"/>
        <w:ind w:firstLine="480"/>
      </w:pPr>
      <w:r>
        <w:rPr/>
        <w:t>（1）我方参加本项目政府采购活动前3年内在经营活动中没有以下违法记录；因违法经营被禁止参加政府采购活动的期限已届满；因违法经营受到刑事处罚或者责令停产停业、吊销许可证或者执照、较大数额罚款等行政处罚。</w:t>
      </w:r>
    </w:p>
    <w:p>
      <w:pPr>
        <w:pStyle w:val="null3"/>
        <w:ind w:firstLine="480"/>
      </w:pPr>
      <w:r>
        <w:rPr/>
        <w:t>（2）我方符合法律、行政法规规定的其他条件。</w:t>
      </w:r>
    </w:p>
    <w:p>
      <w:pPr>
        <w:pStyle w:val="null3"/>
        <w:ind w:firstLine="480"/>
      </w:pPr>
      <w:r>
        <w:rPr/>
        <w:t>（十四）如我方中标，将保证投标文件所提供的材料（包括需要年审、继续教育等完成后才能执业的行政许可、人员证书等情形），如果有效期未能覆盖项目（包组）合同履行期的，将提前按规定办理延期手续，确保合同顺利履行。</w:t>
      </w:r>
    </w:p>
    <w:p>
      <w:pPr>
        <w:pStyle w:val="null3"/>
        <w:ind w:firstLine="480"/>
      </w:pPr>
      <w:r>
        <w:rPr/>
        <w:t xml:space="preserve"> （十五）我方对在本函及投标文件中所作的所有承诺承担法律责任。</w:t>
      </w:r>
    </w:p>
    <w:p>
      <w:pPr>
        <w:pStyle w:val="null3"/>
        <w:ind w:firstLine="480"/>
      </w:pPr>
      <w:r>
        <w:rPr/>
        <w:t>（十六）以上内容如有虚假或与事实不符的，评标委员会可将我方做无效投标处理，我方愿意承担相应的法律责任。</w:t>
      </w:r>
    </w:p>
    <w:p>
      <w:pPr>
        <w:pStyle w:val="null3"/>
        <w:ind w:firstLine="480"/>
      </w:pPr>
      <w:r>
        <w:rPr/>
        <w:t xml:space="preserve"> （十七）所有与本招标有关的函件请发往下列地址：</w:t>
      </w:r>
    </w:p>
    <w:p>
      <w:pPr>
        <w:pStyle w:val="null3"/>
        <w:ind w:firstLine="480"/>
      </w:pPr>
      <w:r>
        <w:rPr/>
        <w:t xml:space="preserve"> 地 址：__________________邮政编码：__________________</w:t>
      </w:r>
    </w:p>
    <w:p>
      <w:pPr>
        <w:pStyle w:val="null3"/>
        <w:ind w:firstLine="480"/>
      </w:pPr>
      <w:r>
        <w:rPr/>
        <w:t xml:space="preserve"> 电 话：__________________</w:t>
      </w:r>
    </w:p>
    <w:p>
      <w:pPr>
        <w:pStyle w:val="null3"/>
        <w:ind w:firstLine="480"/>
      </w:pPr>
      <w:r>
        <w:rPr/>
        <w:t xml:space="preserve"> 传 真：__________________电子邮箱：__________________</w:t>
      </w:r>
    </w:p>
    <w:p>
      <w:pPr>
        <w:pStyle w:val="null3"/>
        <w:ind w:firstLine="480"/>
      </w:pPr>
      <w:r>
        <w:rPr/>
        <w:t xml:space="preserve"> 代表姓名：__________________职 务：__________________</w:t>
      </w:r>
    </w:p>
    <w:p>
      <w:pPr>
        <w:pStyle w:val="null3"/>
        <w:ind w:firstLine="480"/>
      </w:pPr>
      <w:r>
        <w:rPr/>
        <w:t xml:space="preserve"> 投标人法定代表人（或法定代表人授权代表）签字或盖章：__________________</w:t>
      </w:r>
    </w:p>
    <w:p>
      <w:pPr>
        <w:pStyle w:val="null3"/>
      </w:pPr>
      <w:r>
        <w:rPr/>
        <w:t xml:space="preserve"> 投标人名称（盖章）：__________________</w:t>
      </w:r>
    </w:p>
    <w:p>
      <w:pPr>
        <w:pStyle w:val="null3"/>
      </w:pPr>
      <w:r>
        <w:rPr/>
        <w:t xml:space="preserve"> 日期： 年 月 日</w:t>
      </w:r>
    </w:p>
    <w:p>
      <w:pPr>
        <w:pStyle w:val="null3"/>
        <w:ind w:firstLine="480"/>
      </w:pPr>
      <w:r>
        <w:rPr/>
        <w:t xml:space="preserve">  </w:t>
      </w:r>
    </w:p>
    <w:p>
      <w:pPr>
        <w:pStyle w:val="null3"/>
        <w:outlineLvl w:val="2"/>
      </w:pPr>
      <w:r>
        <w:rPr>
          <w:sz w:val="28"/>
          <w:b/>
        </w:rPr>
        <w:t>格式二：</w:t>
      </w:r>
    </w:p>
    <w:p>
      <w:pPr>
        <w:pStyle w:val="null3"/>
        <w:jc w:val="center"/>
        <w:outlineLvl w:val="3"/>
      </w:pPr>
      <w:r>
        <w:rPr>
          <w:sz w:val="24"/>
          <w:b/>
        </w:rPr>
        <w:t>开标一览表</w:t>
      </w:r>
    </w:p>
    <w:p>
      <w:pPr>
        <w:pStyle w:val="null3"/>
        <w:ind w:firstLine="480"/>
      </w:pPr>
      <w:r>
        <w:rPr/>
        <w:t xml:space="preserve"> 注：投标供应商应在投标客户端【报价部分】进行填写，投标客户端软件将自动根据供应商填写信息在线生成开标一览表，若在投标文件中出现非系统生成的开标一览表，且与投标客户端生成的开标一览表信息内容不一致，以投标客户端在线填写报价并生成的内容为准。（下列表样仅供参考）</w:t>
      </w:r>
      <w:r>
        <w:br/>
      </w:r>
    </w:p>
    <w:p>
      <w:pPr>
        <w:pStyle w:val="null3"/>
        <w:ind w:firstLine="480"/>
      </w:pPr>
      <w:r>
        <w:rPr/>
        <w:t>采购项目编号：</w:t>
      </w:r>
    </w:p>
    <w:p>
      <w:pPr>
        <w:pStyle w:val="null3"/>
        <w:ind w:firstLine="480"/>
      </w:pPr>
      <w:r>
        <w:rPr/>
        <w:t>项目名称：</w:t>
      </w:r>
    </w:p>
    <w:p>
      <w:pPr>
        <w:pStyle w:val="null3"/>
        <w:ind w:firstLine="480"/>
      </w:pPr>
      <w:r>
        <w:rPr/>
        <w:t>投标人名称：</w:t>
      </w:r>
    </w:p>
    <w:tbl>
      <w:tblPr>
        <w:tblW w:w="0" w:type="auto"/>
        <w:tblBorders>
          <w:top w:val="single"/>
          <w:left w:val="single"/>
          <w:bottom w:val="single"/>
          <w:right w:val="single"/>
          <w:insideH w:val="single"/>
          <w:insideV w:val="single"/>
        </w:tblBorders>
      </w:tblPr>
      <w:tblGrid>
        <w:gridCol w:w="1661"/>
        <w:gridCol w:w="1661"/>
        <w:gridCol w:w="1661"/>
        <w:gridCol w:w="1661"/>
        <w:gridCol w:w="1661"/>
      </w:tblGrid>
      <w:tr>
        <w:tc>
          <w:tcPr>
            <w:tcW w:type="dxa" w:w="1661"/>
          </w:tcPr>
          <w:p>
            <w:pPr>
              <w:pStyle w:val="null3"/>
            </w:pPr>
            <w:r>
              <w:rPr/>
              <w:t xml:space="preserve"> 序号</w:t>
            </w:r>
          </w:p>
        </w:tc>
        <w:tc>
          <w:tcPr>
            <w:tcW w:type="dxa" w:w="1661"/>
          </w:tcPr>
          <w:p>
            <w:pPr>
              <w:pStyle w:val="null3"/>
            </w:pPr>
            <w:r>
              <w:rPr/>
              <w:t xml:space="preserve"> 采购项目名称/采购包名称</w:t>
            </w:r>
          </w:p>
        </w:tc>
        <w:tc>
          <w:tcPr>
            <w:tcW w:type="dxa" w:w="1661"/>
          </w:tcPr>
          <w:p>
            <w:pPr>
              <w:pStyle w:val="null3"/>
            </w:pPr>
            <w:r>
              <w:rPr/>
              <w:t xml:space="preserve"> 投标报价（元/%）</w:t>
            </w:r>
          </w:p>
        </w:tc>
        <w:tc>
          <w:tcPr>
            <w:tcW w:type="dxa" w:w="1661"/>
          </w:tcPr>
          <w:p>
            <w:pPr>
              <w:pStyle w:val="null3"/>
            </w:pPr>
            <w:r>
              <w:rPr/>
              <w:t xml:space="preserve"> 交货或服务期</w:t>
            </w:r>
          </w:p>
        </w:tc>
        <w:tc>
          <w:tcPr>
            <w:tcW w:type="dxa" w:w="1661"/>
          </w:tcPr>
          <w:p>
            <w:pPr>
              <w:pStyle w:val="null3"/>
            </w:pPr>
            <w:r>
              <w:rPr/>
              <w:t xml:space="preserve"> 交货或服务地点</w:t>
            </w:r>
          </w:p>
        </w:tc>
      </w:tr>
      <w:tr>
        <w:tc>
          <w:tcPr>
            <w:tcW w:type="dxa" w:w="1661"/>
          </w:tcPr>
          <w:p>
            <w:pPr>
              <w:pStyle w:val="null3"/>
            </w:pPr>
            <w:r>
              <w:rPr/>
              <w:t xml:space="preserve"> 1</w:t>
            </w:r>
          </w:p>
        </w:tc>
        <w:tc>
          <w:tcPr>
            <w:tcW w:type="dxa" w:w="1661"/>
          </w:tcPr>
          <w:p/>
        </w:tc>
        <w:tc>
          <w:tcPr>
            <w:tcW w:type="dxa" w:w="1661"/>
          </w:tcPr>
          <w:p/>
        </w:tc>
        <w:tc>
          <w:tcPr>
            <w:tcW w:type="dxa" w:w="1661"/>
          </w:tcPr>
          <w:p/>
        </w:tc>
        <w:tc>
          <w:tcPr>
            <w:tcW w:type="dxa" w:w="1661"/>
          </w:tcPr>
          <w:p/>
        </w:tc>
      </w:tr>
    </w:tbl>
    <w:p>
      <w:pPr>
        <w:pStyle w:val="null3"/>
      </w:pPr>
      <w:r>
        <w:rPr/>
        <w:t xml:space="preserve"> 投标人签章：__________________</w:t>
      </w:r>
    </w:p>
    <w:p>
      <w:pPr>
        <w:pStyle w:val="null3"/>
      </w:pPr>
      <w:r>
        <w:rPr/>
        <w:t>日期： 年 月 日</w:t>
      </w:r>
    </w:p>
    <w:p>
      <w:pPr>
        <w:pStyle w:val="null3"/>
        <w:ind w:firstLine="480"/>
      </w:pPr>
      <w:r>
        <w:rPr/>
        <w:t xml:space="preserve">  </w:t>
      </w:r>
    </w:p>
    <w:p>
      <w:pPr>
        <w:pStyle w:val="null3"/>
        <w:outlineLvl w:val="2"/>
      </w:pPr>
      <w:r>
        <w:rPr>
          <w:sz w:val="28"/>
          <w:b/>
        </w:rPr>
        <w:t>格式三：</w:t>
      </w:r>
    </w:p>
    <w:p>
      <w:pPr>
        <w:pStyle w:val="null3"/>
        <w:jc w:val="center"/>
        <w:outlineLvl w:val="3"/>
      </w:pPr>
      <w:r>
        <w:rPr>
          <w:sz w:val="24"/>
          <w:b/>
        </w:rPr>
        <w:t>分项报价表</w:t>
      </w:r>
    </w:p>
    <w:p>
      <w:pPr>
        <w:pStyle w:val="null3"/>
        <w:ind w:firstLine="480"/>
      </w:pPr>
      <w:r>
        <w:rPr/>
        <w:t xml:space="preserve"> 注：投标供应商应在投标客户端【报价部分】进行填写，投标客户端软件将自动根据供应商填写信息在线生成分项报价表，若在投标文件中出现非系统生成的分项报价表，且与投标客户端生成的分项报价表信息内容不一致，以投标客户端在线填写报价并生成的内容为准。（下列表样仅供参考）</w:t>
      </w:r>
      <w:r>
        <w:br/>
      </w:r>
    </w:p>
    <w:p>
      <w:pPr>
        <w:pStyle w:val="null3"/>
        <w:ind w:firstLine="480"/>
      </w:pPr>
      <w:r>
        <w:rPr/>
        <w:t>采购项目编号：</w:t>
      </w:r>
    </w:p>
    <w:p>
      <w:pPr>
        <w:pStyle w:val="null3"/>
        <w:ind w:firstLine="480"/>
      </w:pPr>
      <w:r>
        <w:rPr/>
        <w:t>项目名称：</w:t>
      </w:r>
    </w:p>
    <w:p>
      <w:pPr>
        <w:pStyle w:val="null3"/>
        <w:ind w:firstLine="480"/>
      </w:pPr>
      <w:r>
        <w:rPr/>
        <w:t>投标人名称：</w:t>
      </w:r>
    </w:p>
    <w:p>
      <w:pPr>
        <w:pStyle w:val="null3"/>
        <w:ind w:firstLine="480"/>
      </w:pPr>
      <w:r>
        <w:rPr/>
        <w:t>采购包：</w:t>
      </w:r>
    </w:p>
    <w:p>
      <w:pPr>
        <w:pStyle w:val="null3"/>
      </w:pPr>
      <w:r>
        <w:rPr/>
        <w:t xml:space="preserve"> 货币及单位：人民币/元</w:t>
      </w:r>
    </w:p>
    <w:tbl>
      <w:tblPr>
        <w:tblW w:w="0" w:type="auto"/>
        <w:tblBorders>
          <w:top w:val="single"/>
          <w:left w:val="single"/>
          <w:bottom w:val="single"/>
          <w:right w:val="single"/>
          <w:insideH w:val="single"/>
          <w:insideV w:val="single"/>
        </w:tblBorders>
      </w:tblPr>
      <w:tblGrid>
        <w:gridCol w:w="831"/>
        <w:gridCol w:w="831"/>
        <w:gridCol w:w="831"/>
        <w:gridCol w:w="831"/>
        <w:gridCol w:w="831"/>
        <w:gridCol w:w="831"/>
        <w:gridCol w:w="831"/>
        <w:gridCol w:w="831"/>
        <w:gridCol w:w="831"/>
        <w:gridCol w:w="831"/>
      </w:tblGrid>
      <w:tr>
        <w:tc>
          <w:tcPr>
            <w:tcW w:type="dxa" w:w="831"/>
          </w:tcPr>
          <w:p>
            <w:pPr>
              <w:pStyle w:val="null3"/>
            </w:pPr>
            <w:r>
              <w:rPr/>
              <w:t xml:space="preserve"> 品目号</w:t>
            </w:r>
          </w:p>
        </w:tc>
        <w:tc>
          <w:tcPr>
            <w:tcW w:type="dxa" w:w="831"/>
          </w:tcPr>
          <w:p>
            <w:pPr>
              <w:pStyle w:val="null3"/>
            </w:pPr>
            <w:r>
              <w:rPr/>
              <w:t xml:space="preserve"> 序号</w:t>
            </w:r>
          </w:p>
        </w:tc>
        <w:tc>
          <w:tcPr>
            <w:tcW w:type="dxa" w:w="831"/>
          </w:tcPr>
          <w:p>
            <w:pPr>
              <w:pStyle w:val="null3"/>
            </w:pPr>
            <w:r>
              <w:rPr/>
              <w:t xml:space="preserve"> 货物名称</w:t>
            </w:r>
          </w:p>
        </w:tc>
        <w:tc>
          <w:tcPr>
            <w:tcW w:type="dxa" w:w="831"/>
          </w:tcPr>
          <w:p>
            <w:pPr>
              <w:pStyle w:val="null3"/>
            </w:pPr>
            <w:r>
              <w:rPr/>
              <w:t xml:space="preserve"> 规格型号</w:t>
            </w:r>
          </w:p>
        </w:tc>
        <w:tc>
          <w:tcPr>
            <w:tcW w:type="dxa" w:w="831"/>
          </w:tcPr>
          <w:p>
            <w:pPr>
              <w:pStyle w:val="null3"/>
            </w:pPr>
            <w:r>
              <w:rPr/>
              <w:t xml:space="preserve"> 品牌</w:t>
            </w:r>
          </w:p>
        </w:tc>
        <w:tc>
          <w:tcPr>
            <w:tcW w:type="dxa" w:w="831"/>
          </w:tcPr>
          <w:p>
            <w:pPr>
              <w:pStyle w:val="null3"/>
            </w:pPr>
            <w:r>
              <w:rPr/>
              <w:t xml:space="preserve"> 产地</w:t>
            </w:r>
          </w:p>
        </w:tc>
        <w:tc>
          <w:tcPr>
            <w:tcW w:type="dxa" w:w="831"/>
          </w:tcPr>
          <w:p>
            <w:pPr>
              <w:pStyle w:val="null3"/>
            </w:pPr>
            <w:r>
              <w:rPr/>
              <w:t xml:space="preserve"> 制造商名称</w:t>
            </w:r>
          </w:p>
        </w:tc>
        <w:tc>
          <w:tcPr>
            <w:tcW w:type="dxa" w:w="831"/>
          </w:tcPr>
          <w:p>
            <w:pPr>
              <w:pStyle w:val="null3"/>
            </w:pPr>
            <w:r>
              <w:rPr/>
              <w:t xml:space="preserve"> 单价</w:t>
            </w:r>
          </w:p>
        </w:tc>
        <w:tc>
          <w:tcPr>
            <w:tcW w:type="dxa" w:w="831"/>
          </w:tcPr>
          <w:p>
            <w:pPr>
              <w:pStyle w:val="null3"/>
            </w:pPr>
            <w:r>
              <w:rPr/>
              <w:t xml:space="preserve"> 数量</w:t>
            </w:r>
          </w:p>
        </w:tc>
        <w:tc>
          <w:tcPr>
            <w:tcW w:type="dxa" w:w="831"/>
          </w:tcPr>
          <w:p>
            <w:pPr>
              <w:pStyle w:val="null3"/>
            </w:pPr>
            <w:r>
              <w:rPr/>
              <w:t xml:space="preserve"> 总价</w:t>
            </w:r>
          </w:p>
        </w:tc>
      </w:tr>
      <w:tr>
        <w:tc>
          <w:tcPr>
            <w:tcW w:type="dxa" w:w="831"/>
          </w:tcPr>
          <w:p>
            <w:pPr>
              <w:pStyle w:val="null3"/>
            </w:pPr>
            <w:r>
              <w:rPr/>
              <w:t xml:space="preserve"> 1</w:t>
            </w:r>
          </w:p>
        </w:tc>
        <w:tc>
          <w:tcPr>
            <w:tcW w:type="dxa" w:w="831"/>
          </w:tcPr>
          <w:p/>
        </w:tc>
        <w:tc>
          <w:tcPr>
            <w:tcW w:type="dxa" w:w="831"/>
          </w:tcPr>
          <w:p/>
        </w:tc>
        <w:tc>
          <w:tcPr>
            <w:tcW w:type="dxa" w:w="831"/>
          </w:tcPr>
          <w:p/>
        </w:tc>
        <w:tc>
          <w:tcPr>
            <w:tcW w:type="dxa" w:w="831"/>
          </w:tcPr>
          <w:p/>
        </w:tc>
        <w:tc>
          <w:tcPr>
            <w:tcW w:type="dxa" w:w="831"/>
          </w:tcPr>
          <w:p/>
        </w:tc>
        <w:tc>
          <w:tcPr>
            <w:tcW w:type="dxa" w:w="831"/>
          </w:tcPr>
          <w:p/>
        </w:tc>
        <w:tc>
          <w:tcPr>
            <w:tcW w:type="dxa" w:w="831"/>
          </w:tcPr>
          <w:p/>
        </w:tc>
        <w:tc>
          <w:tcPr>
            <w:tcW w:type="dxa" w:w="831"/>
          </w:tcPr>
          <w:p/>
        </w:tc>
        <w:tc>
          <w:tcPr>
            <w:tcW w:type="dxa" w:w="831"/>
          </w:tcPr>
          <w:p/>
        </w:tc>
      </w:tr>
    </w:tbl>
    <w:p>
      <w:pPr>
        <w:pStyle w:val="null3"/>
      </w:pPr>
      <w:r>
        <w:br/>
      </w:r>
    </w:p>
    <w:tbl>
      <w:tblPr>
        <w:tblW w:w="0" w:type="auto"/>
        <w:tblBorders>
          <w:top w:val="single"/>
          <w:left w:val="single"/>
          <w:bottom w:val="single"/>
          <w:right w:val="single"/>
          <w:insideH w:val="single"/>
          <w:insideV w:val="single"/>
        </w:tblBorders>
      </w:tblPr>
      <w:tblGrid>
        <w:gridCol w:w="831"/>
        <w:gridCol w:w="831"/>
        <w:gridCol w:w="831"/>
        <w:gridCol w:w="831"/>
        <w:gridCol w:w="831"/>
        <w:gridCol w:w="831"/>
        <w:gridCol w:w="831"/>
        <w:gridCol w:w="831"/>
        <w:gridCol w:w="831"/>
        <w:gridCol w:w="831"/>
      </w:tblGrid>
      <w:tr>
        <w:tc>
          <w:tcPr>
            <w:tcW w:type="dxa" w:w="831"/>
          </w:tcPr>
          <w:p>
            <w:pPr>
              <w:pStyle w:val="null3"/>
            </w:pPr>
            <w:r>
              <w:rPr/>
              <w:t xml:space="preserve"> 品目号</w:t>
            </w:r>
          </w:p>
        </w:tc>
        <w:tc>
          <w:tcPr>
            <w:tcW w:type="dxa" w:w="831"/>
          </w:tcPr>
          <w:p>
            <w:pPr>
              <w:pStyle w:val="null3"/>
            </w:pPr>
            <w:r>
              <w:rPr/>
              <w:t xml:space="preserve"> 序号</w:t>
            </w:r>
          </w:p>
        </w:tc>
        <w:tc>
          <w:tcPr>
            <w:tcW w:type="dxa" w:w="831"/>
          </w:tcPr>
          <w:p>
            <w:pPr>
              <w:pStyle w:val="null3"/>
            </w:pPr>
            <w:r>
              <w:rPr/>
              <w:t xml:space="preserve"> 服务名称</w:t>
            </w:r>
          </w:p>
        </w:tc>
        <w:tc>
          <w:tcPr>
            <w:tcW w:type="dxa" w:w="831"/>
          </w:tcPr>
          <w:p>
            <w:pPr>
              <w:pStyle w:val="null3"/>
            </w:pPr>
            <w:r>
              <w:rPr/>
              <w:t xml:space="preserve"> 服务范围</w:t>
            </w:r>
          </w:p>
        </w:tc>
        <w:tc>
          <w:tcPr>
            <w:tcW w:type="dxa" w:w="831"/>
          </w:tcPr>
          <w:p>
            <w:pPr>
              <w:pStyle w:val="null3"/>
            </w:pPr>
            <w:r>
              <w:rPr/>
              <w:t xml:space="preserve"> 服务要求</w:t>
            </w:r>
          </w:p>
        </w:tc>
        <w:tc>
          <w:tcPr>
            <w:tcW w:type="dxa" w:w="831"/>
          </w:tcPr>
          <w:p>
            <w:pPr>
              <w:pStyle w:val="null3"/>
            </w:pPr>
            <w:r>
              <w:rPr/>
              <w:t xml:space="preserve"> 服务时间</w:t>
            </w:r>
          </w:p>
        </w:tc>
        <w:tc>
          <w:tcPr>
            <w:tcW w:type="dxa" w:w="831"/>
          </w:tcPr>
          <w:p>
            <w:pPr>
              <w:pStyle w:val="null3"/>
            </w:pPr>
            <w:r>
              <w:rPr/>
              <w:t xml:space="preserve"> 服务标准</w:t>
            </w:r>
          </w:p>
        </w:tc>
        <w:tc>
          <w:tcPr>
            <w:tcW w:type="dxa" w:w="831"/>
          </w:tcPr>
          <w:p>
            <w:pPr>
              <w:pStyle w:val="null3"/>
            </w:pPr>
            <w:r>
              <w:rPr/>
              <w:t xml:space="preserve"> 单价</w:t>
            </w:r>
          </w:p>
        </w:tc>
        <w:tc>
          <w:tcPr>
            <w:tcW w:type="dxa" w:w="831"/>
          </w:tcPr>
          <w:p>
            <w:pPr>
              <w:pStyle w:val="null3"/>
            </w:pPr>
            <w:r>
              <w:rPr/>
              <w:t xml:space="preserve"> 数量</w:t>
            </w:r>
          </w:p>
        </w:tc>
        <w:tc>
          <w:tcPr>
            <w:tcW w:type="dxa" w:w="831"/>
          </w:tcPr>
          <w:p>
            <w:pPr>
              <w:pStyle w:val="null3"/>
            </w:pPr>
            <w:r>
              <w:rPr/>
              <w:t xml:space="preserve"> 总价</w:t>
            </w:r>
          </w:p>
        </w:tc>
      </w:tr>
      <w:tr>
        <w:tc>
          <w:tcPr>
            <w:tcW w:type="dxa" w:w="831"/>
          </w:tcPr>
          <w:p>
            <w:pPr>
              <w:pStyle w:val="null3"/>
            </w:pPr>
            <w:r>
              <w:rPr/>
              <w:t xml:space="preserve"> 1</w:t>
            </w:r>
          </w:p>
        </w:tc>
        <w:tc>
          <w:tcPr>
            <w:tcW w:type="dxa" w:w="831"/>
          </w:tcPr>
          <w:p/>
        </w:tc>
        <w:tc>
          <w:tcPr>
            <w:tcW w:type="dxa" w:w="831"/>
          </w:tcPr>
          <w:p/>
        </w:tc>
        <w:tc>
          <w:tcPr>
            <w:tcW w:type="dxa" w:w="831"/>
          </w:tcPr>
          <w:p/>
        </w:tc>
        <w:tc>
          <w:tcPr>
            <w:tcW w:type="dxa" w:w="831"/>
          </w:tcPr>
          <w:p/>
        </w:tc>
        <w:tc>
          <w:tcPr>
            <w:tcW w:type="dxa" w:w="831"/>
          </w:tcPr>
          <w:p/>
        </w:tc>
        <w:tc>
          <w:tcPr>
            <w:tcW w:type="dxa" w:w="831"/>
          </w:tcPr>
          <w:p/>
        </w:tc>
        <w:tc>
          <w:tcPr>
            <w:tcW w:type="dxa" w:w="831"/>
          </w:tcPr>
          <w:p/>
        </w:tc>
        <w:tc>
          <w:tcPr>
            <w:tcW w:type="dxa" w:w="831"/>
          </w:tcPr>
          <w:p/>
        </w:tc>
        <w:tc>
          <w:tcPr>
            <w:tcW w:type="dxa" w:w="831"/>
          </w:tcPr>
          <w:p/>
        </w:tc>
      </w:tr>
    </w:tbl>
    <w:p>
      <w:pPr>
        <w:pStyle w:val="null3"/>
      </w:pPr>
      <w:r>
        <w:rPr/>
        <w:t xml:space="preserve"> 投标人签章：__________________</w:t>
      </w:r>
    </w:p>
    <w:p>
      <w:pPr>
        <w:pStyle w:val="null3"/>
      </w:pPr>
      <w:r>
        <w:rPr/>
        <w:t>日期： 年 月 日</w:t>
      </w:r>
    </w:p>
    <w:p>
      <w:pPr>
        <w:pStyle w:val="null3"/>
        <w:ind w:firstLine="480"/>
      </w:pPr>
      <w:r>
        <w:rPr/>
        <w:t xml:space="preserve">  </w:t>
      </w:r>
    </w:p>
    <w:p>
      <w:pPr>
        <w:pStyle w:val="null3"/>
        <w:outlineLvl w:val="2"/>
      </w:pPr>
      <w:r>
        <w:rPr>
          <w:sz w:val="28"/>
          <w:b/>
        </w:rPr>
        <w:t>格式四：</w:t>
      </w:r>
    </w:p>
    <w:p>
      <w:pPr>
        <w:pStyle w:val="null3"/>
        <w:jc w:val="center"/>
        <w:outlineLvl w:val="3"/>
      </w:pPr>
      <w:r>
        <w:rPr>
          <w:sz w:val="24"/>
          <w:b/>
        </w:rPr>
        <w:t>政策适用性说明</w:t>
      </w:r>
    </w:p>
    <w:p>
      <w:pPr>
        <w:pStyle w:val="null3"/>
        <w:ind w:firstLine="480"/>
      </w:pPr>
      <w:r>
        <w:rPr/>
        <w:t>按照政府采购有关政策的要求，在本次的技术方案中，采用符合政策的小型或微型企业产品、节能产品、环境标志产品，主要产品与核心技术介绍说明如下：</w:t>
      </w:r>
    </w:p>
    <w:tbl>
      <w:tblPr>
        <w:tblW w:w="0" w:type="auto"/>
        <w:tblBorders>
          <w:top w:val="single"/>
          <w:left w:val="single"/>
          <w:bottom w:val="single"/>
          <w:right w:val="single"/>
          <w:insideH w:val="single"/>
          <w:insideV w:val="single"/>
        </w:tblBorders>
      </w:tblPr>
      <w:tblGrid>
        <w:gridCol w:w="1038"/>
        <w:gridCol w:w="1038"/>
        <w:gridCol w:w="1038"/>
        <w:gridCol w:w="1038"/>
        <w:gridCol w:w="1038"/>
        <w:gridCol w:w="1038"/>
        <w:gridCol w:w="1038"/>
        <w:gridCol w:w="1038"/>
      </w:tblGrid>
      <w:tr>
        <w:tc>
          <w:tcPr>
            <w:tcW w:type="dxa" w:w="1038"/>
          </w:tcPr>
          <w:p>
            <w:pPr>
              <w:pStyle w:val="null3"/>
            </w:pPr>
            <w:r>
              <w:rPr/>
              <w:t xml:space="preserve"> 序号</w:t>
            </w:r>
          </w:p>
        </w:tc>
        <w:tc>
          <w:tcPr>
            <w:tcW w:type="dxa" w:w="1038"/>
          </w:tcPr>
          <w:p>
            <w:pPr>
              <w:pStyle w:val="null3"/>
            </w:pPr>
            <w:r>
              <w:rPr/>
              <w:t xml:space="preserve"> 主要产品/技术名称（规格型号、注册商标）</w:t>
            </w:r>
          </w:p>
        </w:tc>
        <w:tc>
          <w:tcPr>
            <w:tcW w:type="dxa" w:w="1038"/>
          </w:tcPr>
          <w:p>
            <w:pPr>
              <w:pStyle w:val="null3"/>
            </w:pPr>
            <w:r>
              <w:rPr/>
              <w:t xml:space="preserve"> 制造商(开发商)</w:t>
            </w:r>
          </w:p>
        </w:tc>
        <w:tc>
          <w:tcPr>
            <w:tcW w:type="dxa" w:w="1038"/>
          </w:tcPr>
          <w:p>
            <w:pPr>
              <w:pStyle w:val="null3"/>
            </w:pPr>
            <w:r>
              <w:rPr/>
              <w:t xml:space="preserve"> 制造商企业类型</w:t>
            </w:r>
          </w:p>
        </w:tc>
        <w:tc>
          <w:tcPr>
            <w:tcW w:type="dxa" w:w="1038"/>
          </w:tcPr>
          <w:p>
            <w:pPr>
              <w:pStyle w:val="null3"/>
            </w:pPr>
            <w:r>
              <w:rPr/>
              <w:t xml:space="preserve"> 节能产品</w:t>
            </w:r>
          </w:p>
        </w:tc>
        <w:tc>
          <w:tcPr>
            <w:tcW w:type="dxa" w:w="1038"/>
          </w:tcPr>
          <w:p>
            <w:pPr>
              <w:pStyle w:val="null3"/>
            </w:pPr>
            <w:r>
              <w:rPr/>
              <w:t xml:space="preserve"> 环境标志产品</w:t>
            </w:r>
          </w:p>
        </w:tc>
        <w:tc>
          <w:tcPr>
            <w:tcW w:type="dxa" w:w="1038"/>
          </w:tcPr>
          <w:p>
            <w:pPr>
              <w:pStyle w:val="null3"/>
            </w:pPr>
            <w:r>
              <w:rPr/>
              <w:t xml:space="preserve"> 认证证书编号</w:t>
            </w:r>
          </w:p>
        </w:tc>
        <w:tc>
          <w:tcPr>
            <w:tcW w:type="dxa" w:w="1038"/>
          </w:tcPr>
          <w:p>
            <w:pPr>
              <w:pStyle w:val="null3"/>
            </w:pPr>
            <w:r>
              <w:rPr/>
              <w:t xml:space="preserve"> 该产品报价在总报价中占比（%）</w:t>
            </w:r>
          </w:p>
        </w:tc>
      </w:tr>
      <w:tr>
        <w:tc>
          <w:tcPr>
            <w:tcW w:type="dxa" w:w="1038"/>
          </w:tcPr>
          <w:p>
            <w:pPr>
              <w:pStyle w:val="null3"/>
            </w:pPr>
            <w:r>
              <w:rPr/>
              <w:t xml:space="preserve"> 1</w:t>
            </w:r>
          </w:p>
        </w:tc>
        <w:tc>
          <w:tcPr>
            <w:tcW w:type="dxa" w:w="1038"/>
          </w:tcPr>
          <w:p/>
        </w:tc>
        <w:tc>
          <w:tcPr>
            <w:tcW w:type="dxa" w:w="1038"/>
          </w:tcPr>
          <w:p/>
        </w:tc>
        <w:tc>
          <w:tcPr>
            <w:tcW w:type="dxa" w:w="1038"/>
          </w:tcPr>
          <w:p/>
        </w:tc>
        <w:tc>
          <w:tcPr>
            <w:tcW w:type="dxa" w:w="1038"/>
          </w:tcPr>
          <w:p/>
        </w:tc>
        <w:tc>
          <w:tcPr>
            <w:tcW w:type="dxa" w:w="1038"/>
          </w:tcPr>
          <w:p/>
        </w:tc>
        <w:tc>
          <w:tcPr>
            <w:tcW w:type="dxa" w:w="1038"/>
          </w:tcPr>
          <w:p/>
        </w:tc>
        <w:tc>
          <w:tcPr>
            <w:tcW w:type="dxa" w:w="1038"/>
          </w:tcPr>
          <w:p/>
        </w:tc>
      </w:tr>
      <w:tr>
        <w:tc>
          <w:tcPr>
            <w:tcW w:type="dxa" w:w="1038"/>
          </w:tcPr>
          <w:p>
            <w:pPr>
              <w:pStyle w:val="null3"/>
            </w:pPr>
            <w:r>
              <w:rPr/>
              <w:t xml:space="preserve"> 2</w:t>
            </w:r>
          </w:p>
        </w:tc>
        <w:tc>
          <w:tcPr>
            <w:tcW w:type="dxa" w:w="1038"/>
          </w:tcPr>
          <w:p/>
        </w:tc>
        <w:tc>
          <w:tcPr>
            <w:tcW w:type="dxa" w:w="1038"/>
          </w:tcPr>
          <w:p/>
        </w:tc>
        <w:tc>
          <w:tcPr>
            <w:tcW w:type="dxa" w:w="1038"/>
          </w:tcPr>
          <w:p/>
        </w:tc>
        <w:tc>
          <w:tcPr>
            <w:tcW w:type="dxa" w:w="1038"/>
          </w:tcPr>
          <w:p/>
        </w:tc>
        <w:tc>
          <w:tcPr>
            <w:tcW w:type="dxa" w:w="1038"/>
          </w:tcPr>
          <w:p/>
        </w:tc>
        <w:tc>
          <w:tcPr>
            <w:tcW w:type="dxa" w:w="1038"/>
          </w:tcPr>
          <w:p/>
        </w:tc>
        <w:tc>
          <w:tcPr>
            <w:tcW w:type="dxa" w:w="1038"/>
          </w:tcPr>
          <w:p/>
        </w:tc>
      </w:tr>
      <w:tr>
        <w:tc>
          <w:tcPr>
            <w:tcW w:type="dxa" w:w="1038"/>
          </w:tcPr>
          <w:p>
            <w:pPr>
              <w:pStyle w:val="null3"/>
            </w:pPr>
            <w:r>
              <w:rPr/>
              <w:t xml:space="preserve"> 3</w:t>
            </w:r>
          </w:p>
        </w:tc>
        <w:tc>
          <w:tcPr>
            <w:tcW w:type="dxa" w:w="1038"/>
          </w:tcPr>
          <w:p/>
        </w:tc>
        <w:tc>
          <w:tcPr>
            <w:tcW w:type="dxa" w:w="1038"/>
          </w:tcPr>
          <w:p/>
        </w:tc>
        <w:tc>
          <w:tcPr>
            <w:tcW w:type="dxa" w:w="1038"/>
          </w:tcPr>
          <w:p/>
        </w:tc>
        <w:tc>
          <w:tcPr>
            <w:tcW w:type="dxa" w:w="1038"/>
          </w:tcPr>
          <w:p/>
        </w:tc>
        <w:tc>
          <w:tcPr>
            <w:tcW w:type="dxa" w:w="1038"/>
          </w:tcPr>
          <w:p/>
        </w:tc>
        <w:tc>
          <w:tcPr>
            <w:tcW w:type="dxa" w:w="1038"/>
          </w:tcPr>
          <w:p/>
        </w:tc>
        <w:tc>
          <w:tcPr>
            <w:tcW w:type="dxa" w:w="1038"/>
          </w:tcPr>
          <w:p/>
        </w:tc>
      </w:tr>
      <w:tr>
        <w:tc>
          <w:tcPr>
            <w:tcW w:type="dxa" w:w="1038"/>
          </w:tcPr>
          <w:p>
            <w:pPr>
              <w:pStyle w:val="null3"/>
            </w:pPr>
            <w:r>
              <w:rPr/>
              <w:t xml:space="preserve"> 4</w:t>
            </w:r>
          </w:p>
        </w:tc>
        <w:tc>
          <w:tcPr>
            <w:tcW w:type="dxa" w:w="1038"/>
          </w:tcPr>
          <w:p/>
        </w:tc>
        <w:tc>
          <w:tcPr>
            <w:tcW w:type="dxa" w:w="1038"/>
          </w:tcPr>
          <w:p/>
        </w:tc>
        <w:tc>
          <w:tcPr>
            <w:tcW w:type="dxa" w:w="1038"/>
          </w:tcPr>
          <w:p/>
        </w:tc>
        <w:tc>
          <w:tcPr>
            <w:tcW w:type="dxa" w:w="1038"/>
          </w:tcPr>
          <w:p/>
        </w:tc>
        <w:tc>
          <w:tcPr>
            <w:tcW w:type="dxa" w:w="1038"/>
          </w:tcPr>
          <w:p/>
        </w:tc>
        <w:tc>
          <w:tcPr>
            <w:tcW w:type="dxa" w:w="1038"/>
          </w:tcPr>
          <w:p/>
        </w:tc>
        <w:tc>
          <w:tcPr>
            <w:tcW w:type="dxa" w:w="1038"/>
          </w:tcPr>
          <w:p/>
        </w:tc>
      </w:tr>
      <w:tr>
        <w:tc>
          <w:tcPr>
            <w:tcW w:type="dxa" w:w="1038"/>
          </w:tcPr>
          <w:p>
            <w:pPr>
              <w:pStyle w:val="null3"/>
            </w:pPr>
            <w:r>
              <w:rPr/>
              <w:t xml:space="preserve"> 5</w:t>
            </w:r>
          </w:p>
        </w:tc>
        <w:tc>
          <w:tcPr>
            <w:tcW w:type="dxa" w:w="1038"/>
          </w:tcPr>
          <w:p/>
        </w:tc>
        <w:tc>
          <w:tcPr>
            <w:tcW w:type="dxa" w:w="1038"/>
          </w:tcPr>
          <w:p/>
        </w:tc>
        <w:tc>
          <w:tcPr>
            <w:tcW w:type="dxa" w:w="1038"/>
          </w:tcPr>
          <w:p/>
        </w:tc>
        <w:tc>
          <w:tcPr>
            <w:tcW w:type="dxa" w:w="1038"/>
          </w:tcPr>
          <w:p/>
        </w:tc>
        <w:tc>
          <w:tcPr>
            <w:tcW w:type="dxa" w:w="1038"/>
          </w:tcPr>
          <w:p/>
        </w:tc>
        <w:tc>
          <w:tcPr>
            <w:tcW w:type="dxa" w:w="1038"/>
          </w:tcPr>
          <w:p/>
        </w:tc>
        <w:tc>
          <w:tcPr>
            <w:tcW w:type="dxa" w:w="1038"/>
          </w:tcPr>
          <w:p/>
        </w:tc>
      </w:tr>
      <w:tr>
        <w:tc>
          <w:tcPr>
            <w:tcW w:type="dxa" w:w="1038"/>
          </w:tcPr>
          <w:p>
            <w:pPr>
              <w:pStyle w:val="null3"/>
            </w:pPr>
            <w:r>
              <w:rPr/>
              <w:t xml:space="preserve"> ...</w:t>
            </w:r>
          </w:p>
        </w:tc>
        <w:tc>
          <w:tcPr>
            <w:tcW w:type="dxa" w:w="1038"/>
          </w:tcPr>
          <w:p/>
        </w:tc>
        <w:tc>
          <w:tcPr>
            <w:tcW w:type="dxa" w:w="1038"/>
          </w:tcPr>
          <w:p/>
        </w:tc>
        <w:tc>
          <w:tcPr>
            <w:tcW w:type="dxa" w:w="1038"/>
          </w:tcPr>
          <w:p/>
        </w:tc>
        <w:tc>
          <w:tcPr>
            <w:tcW w:type="dxa" w:w="1038"/>
          </w:tcPr>
          <w:p/>
        </w:tc>
        <w:tc>
          <w:tcPr>
            <w:tcW w:type="dxa" w:w="1038"/>
          </w:tcPr>
          <w:p/>
        </w:tc>
        <w:tc>
          <w:tcPr>
            <w:tcW w:type="dxa" w:w="1038"/>
          </w:tcPr>
          <w:p/>
        </w:tc>
        <w:tc>
          <w:tcPr>
            <w:tcW w:type="dxa" w:w="1038"/>
          </w:tcPr>
          <w:p/>
        </w:tc>
      </w:tr>
    </w:tbl>
    <w:p>
      <w:pPr>
        <w:pStyle w:val="null3"/>
        <w:ind w:firstLine="480"/>
      </w:pPr>
      <w:r>
        <w:rPr/>
        <w:t>注：1.制造商为小型或微型企业时才需要填“制造商企业类型”栏,填写内容为“小型”或“微型”；</w:t>
      </w:r>
    </w:p>
    <w:p>
      <w:pPr>
        <w:pStyle w:val="null3"/>
        <w:ind w:firstLine="480"/>
      </w:pPr>
      <w:r>
        <w:rPr/>
        <w:t>2.“节能产品、环境标志产品”须填写认证证书编号，并在对应“节能产品”、“环境标志产品”栏中勾选，同时提供有效期内的证书复印件（加盖投标人公章）</w:t>
      </w:r>
    </w:p>
    <w:p>
      <w:pPr>
        <w:pStyle w:val="null3"/>
      </w:pPr>
      <w:r>
        <w:rPr/>
        <w:t xml:space="preserve"> 投标人名称（盖章）：__________________</w:t>
      </w:r>
    </w:p>
    <w:p>
      <w:pPr>
        <w:pStyle w:val="null3"/>
      </w:pPr>
      <w:r>
        <w:rPr/>
        <w:t>日期： 年 月 日</w:t>
      </w:r>
    </w:p>
    <w:p>
      <w:pPr>
        <w:pStyle w:val="null3"/>
        <w:ind w:firstLine="480"/>
      </w:pPr>
      <w:r>
        <w:rPr/>
        <w:t xml:space="preserve">  </w:t>
      </w:r>
    </w:p>
    <w:p>
      <w:pPr>
        <w:pStyle w:val="null3"/>
        <w:outlineLvl w:val="2"/>
      </w:pPr>
      <w:r>
        <w:rPr>
          <w:sz w:val="28"/>
          <w:b/>
        </w:rPr>
        <w:t>格式五：</w:t>
      </w:r>
    </w:p>
    <w:p>
      <w:pPr>
        <w:pStyle w:val="null3"/>
        <w:ind w:firstLine="480"/>
      </w:pPr>
      <w:r>
        <w:rPr/>
        <w:t>（投标人可使用下述格式，也可使用广东省工商行政管理局统一印制的法定代表人证明书格式）</w:t>
      </w:r>
    </w:p>
    <w:p>
      <w:pPr>
        <w:pStyle w:val="null3"/>
        <w:jc w:val="center"/>
        <w:outlineLvl w:val="3"/>
      </w:pPr>
      <w:r>
        <w:rPr>
          <w:sz w:val="24"/>
          <w:b/>
        </w:rPr>
        <w:t>法定代表人证明书</w:t>
      </w:r>
    </w:p>
    <w:p>
      <w:pPr>
        <w:pStyle w:val="null3"/>
        <w:ind w:firstLine="480"/>
      </w:pPr>
      <w:r>
        <w:rPr/>
        <w:t>_____________现任我单位_____________职务，为法定代表人，特此证明。</w:t>
      </w:r>
    </w:p>
    <w:p>
      <w:pPr>
        <w:pStyle w:val="null3"/>
        <w:ind w:firstLine="480"/>
      </w:pPr>
      <w:r>
        <w:rPr/>
        <w:t>有效期限：__________________</w:t>
      </w:r>
    </w:p>
    <w:p>
      <w:pPr>
        <w:pStyle w:val="null3"/>
        <w:ind w:firstLine="480"/>
      </w:pPr>
      <w:r>
        <w:rPr/>
        <w:t>附：代表人性别：_____年龄：_________ 身份证号码：__________________</w:t>
      </w:r>
    </w:p>
    <w:p>
      <w:pPr>
        <w:pStyle w:val="null3"/>
        <w:ind w:firstLine="480"/>
      </w:pPr>
      <w:r>
        <w:rPr/>
        <w:t>注册号码：____________________企业类型：____________________________</w:t>
      </w:r>
    </w:p>
    <w:p>
      <w:pPr>
        <w:pStyle w:val="null3"/>
        <w:ind w:firstLine="480"/>
      </w:pPr>
      <w:r>
        <w:rPr/>
        <w:t>经营范围：__________________________</w:t>
      </w:r>
    </w:p>
    <w:p>
      <w:pPr>
        <w:pStyle w:val="null3"/>
      </w:pPr>
      <w:r>
        <w:rPr/>
        <w:t xml:space="preserve"> 投标人名称（盖章）：__________________</w:t>
      </w:r>
    </w:p>
    <w:p>
      <w:pPr>
        <w:pStyle w:val="null3"/>
      </w:pPr>
      <w:r>
        <w:rPr/>
        <w:t xml:space="preserve"> 地址：__________________</w:t>
      </w:r>
    </w:p>
    <w:p>
      <w:pPr>
        <w:pStyle w:val="null3"/>
      </w:pPr>
      <w:r>
        <w:rPr/>
        <w:t xml:space="preserve"> 法定代表人（签字或盖章）：__________________</w:t>
      </w:r>
    </w:p>
    <w:p>
      <w:pPr>
        <w:pStyle w:val="null3"/>
      </w:pPr>
      <w:r>
        <w:rPr/>
        <w:t xml:space="preserve"> 职务：__________________</w:t>
      </w:r>
    </w:p>
    <w:p>
      <w:pPr>
        <w:pStyle w:val="null3"/>
      </w:pPr>
      <w:r>
        <w:rPr/>
        <w:t xml:space="preserve"> 日期： 年 月 日</w:t>
      </w:r>
    </w:p>
    <w:p>
      <w:pPr>
        <w:pStyle w:val="null3"/>
        <w:ind w:firstLine="480"/>
      </w:pPr>
      <w:r>
        <w:rPr/>
        <w:t xml:space="preserve">  </w:t>
      </w:r>
    </w:p>
    <w:p>
      <w:pPr>
        <w:pStyle w:val="null3"/>
        <w:outlineLvl w:val="2"/>
      </w:pPr>
      <w:r>
        <w:rPr>
          <w:sz w:val="28"/>
          <w:b/>
        </w:rPr>
        <w:t>格式六：</w:t>
      </w:r>
    </w:p>
    <w:p>
      <w:pPr>
        <w:pStyle w:val="null3"/>
        <w:jc w:val="center"/>
        <w:outlineLvl w:val="3"/>
      </w:pPr>
      <w:r>
        <w:rPr>
          <w:sz w:val="24"/>
          <w:b/>
        </w:rPr>
        <w:t>法定代表人授权书格式</w:t>
      </w:r>
    </w:p>
    <w:p>
      <w:pPr>
        <w:pStyle w:val="null3"/>
        <w:ind w:firstLine="480"/>
      </w:pPr>
      <w:r>
        <w:rPr/>
        <w:t>（对于银行、保险、电信、邮政、铁路等行业以及获得总公司投标授权的分公司，可以提供投标分支机构负责人授权书）</w:t>
      </w:r>
    </w:p>
    <w:p>
      <w:pPr>
        <w:pStyle w:val="null3"/>
        <w:jc w:val="center"/>
        <w:outlineLvl w:val="3"/>
      </w:pPr>
      <w:r>
        <w:rPr>
          <w:sz w:val="24"/>
          <w:b/>
        </w:rPr>
        <w:t>法定代表人授权书</w:t>
      </w:r>
    </w:p>
    <w:p>
      <w:pPr>
        <w:pStyle w:val="null3"/>
        <w:ind w:firstLine="480"/>
      </w:pPr>
      <w:r>
        <w:rPr/>
        <w:t>致：</w:t>
      </w:r>
      <w:r>
        <w:rPr/>
        <w:t>广东有德招标采购有限公司</w:t>
      </w:r>
    </w:p>
    <w:p>
      <w:pPr>
        <w:pStyle w:val="null3"/>
        <w:ind w:firstLine="480"/>
      </w:pPr>
      <w:r>
        <w:rPr/>
        <w:t xml:space="preserve">本授权书声明：________是注册于 </w:t>
      </w:r>
      <w:r>
        <w:rPr>
          <w:u w:val="single"/>
        </w:rPr>
        <w:t>（国家或地区）</w:t>
      </w:r>
      <w:r>
        <w:rPr/>
        <w:t>的</w:t>
      </w:r>
      <w:r>
        <w:rPr>
          <w:u w:val="single"/>
        </w:rPr>
        <w:t>（投标人名称）</w:t>
      </w:r>
      <w:r>
        <w:rPr/>
        <w:t xml:space="preserve">的法定代表人，现任________职务，有效证件号码：________________。现授权 </w:t>
      </w:r>
      <w:r>
        <w:rPr>
          <w:u w:val="single"/>
        </w:rPr>
        <w:t>（姓名、职务）</w:t>
      </w:r>
      <w:r>
        <w:rPr/>
        <w:t xml:space="preserve"> 作为我公司的全权代理人，就“</w:t>
      </w:r>
      <w:r>
        <w:rPr/>
        <w:t>广东交通职业技术学院智慧校园综合服务平台三期建设项目</w:t>
      </w:r>
      <w:r>
        <w:rPr/>
        <w:t>”项目采购[采购项目编号为</w:t>
      </w:r>
      <w:r>
        <w:rPr/>
        <w:t>1210-2541YDZB9562</w:t>
      </w:r>
      <w:r>
        <w:rPr/>
        <w:t>]的投标和合同执行，以我方的名义处理一切与之有关的事宜。</w:t>
      </w:r>
    </w:p>
    <w:p>
      <w:pPr>
        <w:pStyle w:val="null3"/>
        <w:ind w:firstLine="480"/>
      </w:pPr>
      <w:r>
        <w:rPr/>
        <w:t>本授权书于________年________月________日签字生效，特此声明。</w:t>
      </w:r>
    </w:p>
    <w:p>
      <w:pPr>
        <w:pStyle w:val="null3"/>
      </w:pPr>
      <w:r>
        <w:rPr/>
        <w:t xml:space="preserve"> 投标人（盖章）：__________________</w:t>
      </w:r>
    </w:p>
    <w:p>
      <w:pPr>
        <w:pStyle w:val="null3"/>
      </w:pPr>
      <w:r>
        <w:rPr/>
        <w:t xml:space="preserve"> 地址：__________________</w:t>
      </w:r>
    </w:p>
    <w:p>
      <w:pPr>
        <w:pStyle w:val="null3"/>
      </w:pPr>
      <w:r>
        <w:rPr/>
        <w:t xml:space="preserve"> 法定代表人（签字或盖章）：__________________</w:t>
      </w:r>
    </w:p>
    <w:p>
      <w:pPr>
        <w:pStyle w:val="null3"/>
      </w:pPr>
      <w:r>
        <w:rPr/>
        <w:t xml:space="preserve"> 职务：__________________</w:t>
      </w:r>
    </w:p>
    <w:p>
      <w:pPr>
        <w:pStyle w:val="null3"/>
      </w:pPr>
      <w:r>
        <w:rPr/>
        <w:t xml:space="preserve"> 被授权人（签字或盖章）：__________________</w:t>
      </w:r>
    </w:p>
    <w:p>
      <w:pPr>
        <w:pStyle w:val="null3"/>
      </w:pPr>
      <w:r>
        <w:rPr/>
        <w:t xml:space="preserve"> 职务：__________________</w:t>
      </w:r>
    </w:p>
    <w:p>
      <w:pPr>
        <w:pStyle w:val="null3"/>
      </w:pPr>
      <w:r>
        <w:rPr/>
        <w:t xml:space="preserve"> 日期： 年 月 日</w:t>
      </w:r>
    </w:p>
    <w:p>
      <w:pPr>
        <w:pStyle w:val="null3"/>
        <w:ind w:firstLine="480"/>
      </w:pPr>
      <w:r>
        <w:rPr/>
        <w:t xml:space="preserve">  </w:t>
      </w:r>
    </w:p>
    <w:p>
      <w:pPr>
        <w:pStyle w:val="null3"/>
        <w:outlineLvl w:val="2"/>
      </w:pPr>
      <w:r>
        <w:rPr>
          <w:sz w:val="28"/>
          <w:b/>
        </w:rPr>
        <w:t>格式七：</w:t>
      </w:r>
    </w:p>
    <w:p>
      <w:pPr>
        <w:pStyle w:val="null3"/>
        <w:jc w:val="center"/>
        <w:outlineLvl w:val="3"/>
      </w:pPr>
      <w:r>
        <w:rPr>
          <w:sz w:val="24"/>
          <w:b/>
        </w:rPr>
        <w:t>投标保证金</w:t>
      </w:r>
    </w:p>
    <w:p>
      <w:pPr>
        <w:pStyle w:val="null3"/>
        <w:ind w:firstLine="480"/>
      </w:pPr>
      <w:r>
        <w:rPr/>
        <w:t>采购文件要求递交投标保证金的，投标人应在此提供保证金的凭证的复印件。</w:t>
      </w:r>
    </w:p>
    <w:p>
      <w:pPr>
        <w:pStyle w:val="null3"/>
      </w:pPr>
      <w:r>
        <w:rPr/>
        <w:t xml:space="preserve">  </w:t>
      </w:r>
    </w:p>
    <w:p>
      <w:pPr>
        <w:pStyle w:val="null3"/>
        <w:outlineLvl w:val="2"/>
      </w:pPr>
      <w:r>
        <w:rPr>
          <w:sz w:val="28"/>
          <w:b/>
        </w:rPr>
        <w:t>格式八：</w:t>
      </w:r>
    </w:p>
    <w:p>
      <w:pPr>
        <w:pStyle w:val="null3"/>
        <w:jc w:val="center"/>
        <w:outlineLvl w:val="3"/>
      </w:pPr>
      <w:r>
        <w:rPr>
          <w:sz w:val="24"/>
          <w:b/>
        </w:rPr>
        <w:t>提供具有独立承担民事责任的能力的证明材料</w:t>
      </w:r>
    </w:p>
    <w:p>
      <w:pPr>
        <w:pStyle w:val="null3"/>
        <w:ind w:firstLine="480"/>
      </w:pPr>
      <w:r>
        <w:rPr/>
        <w:t xml:space="preserve">  </w:t>
      </w:r>
    </w:p>
    <w:p>
      <w:pPr>
        <w:pStyle w:val="null3"/>
        <w:outlineLvl w:val="2"/>
      </w:pPr>
      <w:r>
        <w:rPr>
          <w:sz w:val="28"/>
          <w:b/>
        </w:rPr>
        <w:t>格式九：</w:t>
      </w:r>
    </w:p>
    <w:p>
      <w:pPr>
        <w:pStyle w:val="null3"/>
        <w:jc w:val="center"/>
        <w:outlineLvl w:val="3"/>
      </w:pPr>
      <w:r>
        <w:rPr>
          <w:sz w:val="24"/>
          <w:b/>
        </w:rPr>
        <w:t>资格性审查要求的其他资质证明文件</w:t>
      </w:r>
    </w:p>
    <w:p>
      <w:pPr>
        <w:pStyle w:val="null3"/>
        <w:ind w:firstLine="480"/>
      </w:pPr>
      <w:r>
        <w:rPr/>
        <w:t>具有履行合同所必需的设备和专业技术能力</w:t>
      </w:r>
    </w:p>
    <w:p>
      <w:pPr>
        <w:pStyle w:val="null3"/>
      </w:pPr>
      <w:r>
        <w:rPr/>
        <w:t xml:space="preserve">  </w:t>
      </w:r>
    </w:p>
    <w:p>
      <w:pPr>
        <w:pStyle w:val="null3"/>
        <w:outlineLvl w:val="2"/>
      </w:pPr>
      <w:r>
        <w:rPr>
          <w:sz w:val="28"/>
          <w:b/>
        </w:rPr>
        <w:t>格式十：</w:t>
      </w:r>
    </w:p>
    <w:p>
      <w:pPr>
        <w:pStyle w:val="null3"/>
        <w:ind w:firstLine="480"/>
      </w:pPr>
      <w:r>
        <w:rPr/>
        <w:t>（对于采购需求写明“提供承诺”的条款，供应商可参照以下格式提供承诺）</w:t>
      </w:r>
    </w:p>
    <w:p>
      <w:pPr>
        <w:pStyle w:val="null3"/>
        <w:jc w:val="center"/>
        <w:outlineLvl w:val="3"/>
      </w:pPr>
      <w:r>
        <w:rPr>
          <w:sz w:val="24"/>
          <w:b/>
        </w:rPr>
        <w:t>承诺函</w:t>
      </w:r>
    </w:p>
    <w:p>
      <w:pPr>
        <w:pStyle w:val="null3"/>
        <w:ind w:firstLine="480"/>
      </w:pPr>
      <w:r>
        <w:rPr/>
        <w:t>致：</w:t>
      </w:r>
      <w:r>
        <w:rPr/>
        <w:t>广东交通职业技术学院</w:t>
      </w:r>
      <w:r>
        <w:br/>
      </w:r>
    </w:p>
    <w:p>
      <w:pPr>
        <w:pStyle w:val="null3"/>
        <w:ind w:firstLine="480"/>
      </w:pPr>
      <w:r>
        <w:rPr/>
        <w:t>对于__________________项目（项目编号：__________________），我方郑重承诺如下：</w:t>
      </w:r>
    </w:p>
    <w:p>
      <w:pPr>
        <w:pStyle w:val="null3"/>
        <w:ind w:firstLine="480"/>
      </w:pPr>
      <w:r>
        <w:rPr/>
        <w:t>如中标/成交，我方承诺严格落实采购文件以下条款：(建议逐条复制采购文件相关条款原文)</w:t>
      </w:r>
    </w:p>
    <w:p>
      <w:pPr>
        <w:pStyle w:val="null3"/>
        <w:ind w:firstLine="480"/>
      </w:pPr>
      <w:r>
        <w:rPr/>
        <w:t>（一）星号条款</w:t>
      </w:r>
    </w:p>
    <w:p>
      <w:pPr>
        <w:pStyle w:val="null3"/>
        <w:ind w:firstLine="480"/>
      </w:pPr>
      <w:r>
        <w:rPr/>
        <w:t>1.</w:t>
      </w:r>
    </w:p>
    <w:p>
      <w:pPr>
        <w:pStyle w:val="null3"/>
        <w:ind w:firstLine="480"/>
      </w:pPr>
      <w:r>
        <w:rPr/>
        <w:t>2.</w:t>
      </w:r>
    </w:p>
    <w:p>
      <w:pPr>
        <w:pStyle w:val="null3"/>
        <w:ind w:firstLine="480"/>
      </w:pPr>
      <w:r>
        <w:rPr/>
        <w:t>3.</w:t>
      </w:r>
    </w:p>
    <w:p>
      <w:pPr>
        <w:pStyle w:val="null3"/>
        <w:ind w:firstLine="480"/>
      </w:pPr>
      <w:r>
        <w:rPr/>
        <w:t>.........</w:t>
      </w:r>
    </w:p>
    <w:p>
      <w:pPr>
        <w:pStyle w:val="null3"/>
        <w:ind w:firstLine="480"/>
      </w:pPr>
      <w:r>
        <w:rPr/>
        <w:t>（二）三角号条款</w:t>
      </w:r>
    </w:p>
    <w:p>
      <w:pPr>
        <w:pStyle w:val="null3"/>
        <w:ind w:firstLine="480"/>
      </w:pPr>
      <w:r>
        <w:rPr/>
        <w:t>1.</w:t>
      </w:r>
    </w:p>
    <w:p>
      <w:pPr>
        <w:pStyle w:val="null3"/>
        <w:ind w:firstLine="480"/>
      </w:pPr>
      <w:r>
        <w:rPr/>
        <w:t>2.</w:t>
      </w:r>
    </w:p>
    <w:p>
      <w:pPr>
        <w:pStyle w:val="null3"/>
        <w:ind w:firstLine="480"/>
      </w:pPr>
      <w:r>
        <w:rPr/>
        <w:t>3.</w:t>
      </w:r>
    </w:p>
    <w:p>
      <w:pPr>
        <w:pStyle w:val="null3"/>
        <w:ind w:firstLine="480"/>
      </w:pPr>
      <w:r>
        <w:rPr/>
        <w:t>.........</w:t>
      </w:r>
    </w:p>
    <w:p>
      <w:pPr>
        <w:pStyle w:val="null3"/>
        <w:ind w:firstLine="480"/>
      </w:pPr>
      <w:r>
        <w:rPr/>
        <w:t>（三）非星号、非三角号条款</w:t>
      </w:r>
    </w:p>
    <w:p>
      <w:pPr>
        <w:pStyle w:val="null3"/>
        <w:ind w:firstLine="480"/>
      </w:pPr>
      <w:r>
        <w:rPr/>
        <w:t>1.</w:t>
      </w:r>
    </w:p>
    <w:p>
      <w:pPr>
        <w:pStyle w:val="null3"/>
        <w:ind w:firstLine="480"/>
      </w:pPr>
      <w:r>
        <w:rPr/>
        <w:t>2.</w:t>
      </w:r>
    </w:p>
    <w:p>
      <w:pPr>
        <w:pStyle w:val="null3"/>
        <w:ind w:firstLine="480"/>
      </w:pPr>
      <w:r>
        <w:rPr/>
        <w:t>3.</w:t>
      </w:r>
    </w:p>
    <w:p>
      <w:pPr>
        <w:pStyle w:val="null3"/>
        <w:ind w:firstLine="480"/>
      </w:pPr>
      <w:r>
        <w:rPr/>
        <w:t>.........</w:t>
      </w:r>
      <w:r>
        <w:br/>
      </w:r>
    </w:p>
    <w:p>
      <w:pPr>
        <w:pStyle w:val="null3"/>
        <w:ind w:firstLine="480"/>
      </w:pPr>
      <w:r>
        <w:rPr/>
        <w:t>特此承诺。</w:t>
      </w:r>
    </w:p>
    <w:p>
      <w:pPr>
        <w:pStyle w:val="null3"/>
      </w:pPr>
      <w:r>
        <w:rPr/>
        <w:t xml:space="preserve"> 供应商名称（盖章）：__________________</w:t>
      </w:r>
    </w:p>
    <w:p>
      <w:pPr>
        <w:pStyle w:val="null3"/>
      </w:pPr>
      <w:r>
        <w:rPr/>
        <w:t xml:space="preserve"> 日期： 年 月 日</w:t>
      </w:r>
    </w:p>
    <w:p>
      <w:pPr>
        <w:pStyle w:val="null3"/>
        <w:ind w:firstLine="480"/>
      </w:pPr>
      <w:r>
        <w:rPr/>
        <w:t xml:space="preserve">  </w:t>
      </w:r>
    </w:p>
    <w:p>
      <w:pPr>
        <w:pStyle w:val="null3"/>
        <w:outlineLvl w:val="2"/>
      </w:pPr>
      <w:r>
        <w:rPr>
          <w:sz w:val="28"/>
          <w:b/>
        </w:rPr>
        <w:t>格式十一：</w:t>
      </w:r>
    </w:p>
    <w:p>
      <w:pPr>
        <w:pStyle w:val="null3"/>
        <w:ind w:firstLine="480"/>
      </w:pPr>
      <w:r>
        <w:rPr/>
        <w:t>（以下格式文件由供应商根据需要选用）</w:t>
      </w:r>
    </w:p>
    <w:p>
      <w:pPr>
        <w:pStyle w:val="null3"/>
        <w:ind w:firstLine="480"/>
      </w:pPr>
      <w:r>
        <w:rPr/>
        <w:t>中小企业声明函（所投产品制造商为中小企业时提交本函，所属行业应符合采购文件中明确的本项目所属行业）</w:t>
      </w:r>
    </w:p>
    <w:p>
      <w:pPr>
        <w:pStyle w:val="null3"/>
        <w:jc w:val="center"/>
        <w:outlineLvl w:val="3"/>
      </w:pPr>
      <w:r>
        <w:rPr>
          <w:sz w:val="24"/>
          <w:b/>
        </w:rPr>
        <w:t>中小企业声明函（货物）</w:t>
      </w:r>
    </w:p>
    <w:p>
      <w:pPr>
        <w:pStyle w:val="null3"/>
        <w:ind w:firstLine="480"/>
      </w:pPr>
      <w:r>
        <w:rPr/>
        <w:t>本公司（联合体）郑重声明，根据《政府采购促进中小企业发展管理办法》（财库﹝2020﹞46 号）的规定，本公司（联合体）参加</w:t>
      </w:r>
      <w:r>
        <w:rPr>
          <w:u w:val="single"/>
        </w:rPr>
        <w:t>（单位名称）</w:t>
      </w:r>
      <w:r>
        <w:rPr/>
        <w:t>的</w:t>
      </w:r>
      <w:r>
        <w:rPr>
          <w:u w:val="single"/>
        </w:rPr>
        <w:t>（项目名称）</w:t>
      </w:r>
      <w:r>
        <w:rPr/>
        <w:t>采购活动，提供的货物全部由符合政策要求的中小企业制造。相关企业（含联合体中的中小企业、签订分包意向协议的中小企业）的具体情况如下：</w:t>
      </w:r>
    </w:p>
    <w:p>
      <w:pPr>
        <w:pStyle w:val="null3"/>
        <w:ind w:firstLine="480"/>
      </w:pPr>
      <w:r>
        <w:rPr/>
        <w:t xml:space="preserve"> 1.</w:t>
      </w:r>
      <w:r>
        <w:rPr>
          <w:u w:val="single"/>
        </w:rPr>
        <w:t>（标的名称）</w:t>
      </w:r>
      <w:r>
        <w:rPr/>
        <w:t>，属于</w:t>
      </w:r>
      <w:r>
        <w:rPr>
          <w:u w:val="single"/>
        </w:rPr>
        <w:t>（采购文件中明确的所属行业）</w:t>
      </w:r>
      <w:r>
        <w:rPr/>
        <w:t>行业；制造商为</w:t>
      </w:r>
      <w:r>
        <w:rPr>
          <w:u w:val="single"/>
        </w:rPr>
        <w:t>（企业名称）</w:t>
      </w:r>
      <w:r>
        <w:rPr/>
        <w:t>，从业人员__________________人，营业收入为__________________万元，资产总额为__________________万元</w:t>
      </w:r>
      <w:r>
        <w:rPr>
          <w:sz w:val="7"/>
        </w:rPr>
        <w:t>1</w:t>
      </w:r>
      <w:r>
        <w:rPr/>
        <w:t>，属于</w:t>
      </w:r>
      <w:r>
        <w:rPr>
          <w:u w:val="single"/>
        </w:rPr>
        <w:t>（中型企业、小型企业、微型企业）</w:t>
      </w:r>
      <w:r>
        <w:rPr/>
        <w:t>；</w:t>
      </w:r>
    </w:p>
    <w:p>
      <w:pPr>
        <w:pStyle w:val="null3"/>
        <w:ind w:firstLine="480"/>
      </w:pPr>
      <w:r>
        <w:rPr/>
        <w:t xml:space="preserve"> 2.</w:t>
      </w:r>
      <w:r>
        <w:rPr>
          <w:u w:val="single"/>
        </w:rPr>
        <w:t>（标的名称）</w:t>
      </w:r>
      <w:r>
        <w:rPr/>
        <w:t>，属于</w:t>
      </w:r>
      <w:r>
        <w:rPr>
          <w:u w:val="single"/>
        </w:rPr>
        <w:t>（采购文件中明确的所属行业）</w:t>
      </w:r>
      <w:r>
        <w:rPr/>
        <w:t>行业；制造商为</w:t>
      </w:r>
      <w:r>
        <w:rPr>
          <w:u w:val="single"/>
        </w:rPr>
        <w:t>（企业名称）</w:t>
      </w:r>
      <w:r>
        <w:rPr/>
        <w:t>，从业人员__________________人，营业收入为__________________万元，资产总额为__________________万元</w:t>
      </w:r>
      <w:r>
        <w:rPr>
          <w:sz w:val="7"/>
        </w:rPr>
        <w:t>1</w:t>
      </w:r>
      <w:r>
        <w:rPr/>
        <w:t>，属于</w:t>
      </w:r>
      <w:r>
        <w:rPr>
          <w:u w:val="single"/>
        </w:rPr>
        <w:t>（中型企业、小型企业、微型企业）</w:t>
      </w:r>
      <w:r>
        <w:rPr/>
        <w:t>；</w:t>
      </w:r>
    </w:p>
    <w:p>
      <w:pPr>
        <w:pStyle w:val="null3"/>
        <w:ind w:firstLine="480"/>
      </w:pPr>
      <w:r>
        <w:rPr/>
        <w:t>……</w:t>
      </w:r>
    </w:p>
    <w:p>
      <w:pPr>
        <w:pStyle w:val="null3"/>
        <w:ind w:firstLine="480"/>
      </w:pPr>
      <w:r>
        <w:rPr/>
        <w:t>以上企业，不属于大企业的分支机构，不存在控股股东为大企业的情形，也不存在与大企业的负责人为同一人的情形。</w:t>
      </w:r>
    </w:p>
    <w:p>
      <w:pPr>
        <w:pStyle w:val="null3"/>
        <w:ind w:firstLine="480"/>
      </w:pPr>
      <w:r>
        <w:rPr/>
        <w:t>本企业对上述声明内容的真实性负责。如有虚假，将依法承担相应责任。</w:t>
      </w:r>
    </w:p>
    <w:p>
      <w:pPr>
        <w:pStyle w:val="null3"/>
      </w:pPr>
      <w:r>
        <w:rPr/>
        <w:t xml:space="preserve"> 企业名称（盖章）：__________________</w:t>
      </w:r>
    </w:p>
    <w:p>
      <w:pPr>
        <w:pStyle w:val="null3"/>
      </w:pPr>
      <w:r>
        <w:rPr/>
        <w:t xml:space="preserve"> 日期： 年 月 日</w:t>
      </w:r>
    </w:p>
    <w:p>
      <w:pPr>
        <w:pStyle w:val="null3"/>
        <w:ind w:firstLine="480"/>
      </w:pPr>
      <w:r>
        <w:rPr/>
        <w:t>1：从业人员、营业收入、资产总额填报上一年度数据，无上一年度数据的新成立企业可不填报</w:t>
      </w:r>
    </w:p>
    <w:p>
      <w:pPr>
        <w:pStyle w:val="null3"/>
        <w:ind w:firstLine="480"/>
      </w:pPr>
      <w:r>
        <w:rPr/>
        <w:t xml:space="preserve"> 2：投标人应当对其出具的《中小企业声明函》真实性负责，投标人出具的《中小企业声明函》内容不实的，属于提供虚假材料谋取中标。在实际操作中，投标人希望获得中小企业扶持政策支持的，应从制造商处获得充分、准确的信息。对相关制造商信息了解不充分，或者不能确定相关信息真实、准确的，不建议出具《中小企业声明函》。</w:t>
      </w:r>
    </w:p>
    <w:p>
      <w:pPr>
        <w:pStyle w:val="null3"/>
        <w:ind w:firstLine="480"/>
      </w:pPr>
      <w:r>
        <w:rPr/>
        <w:t xml:space="preserve">  </w:t>
      </w:r>
    </w:p>
    <w:p>
      <w:pPr>
        <w:pStyle w:val="null3"/>
        <w:ind w:firstLine="480"/>
      </w:pPr>
      <w:r>
        <w:rPr/>
        <w:t>中小企业声明函（承建本项目工程为中小企业或者承接本项目服务为中小企业时提交本函，所属行业应符合采购文件中明确的本项目所属行业）</w:t>
      </w:r>
    </w:p>
    <w:p>
      <w:pPr>
        <w:pStyle w:val="null3"/>
        <w:jc w:val="center"/>
        <w:outlineLvl w:val="3"/>
      </w:pPr>
      <w:r>
        <w:rPr>
          <w:sz w:val="24"/>
          <w:b/>
        </w:rPr>
        <w:t>中小企业声明函（工程、服务）</w:t>
      </w:r>
    </w:p>
    <w:p>
      <w:pPr>
        <w:pStyle w:val="null3"/>
        <w:ind w:firstLine="480"/>
      </w:pPr>
      <w:r>
        <w:rPr/>
        <w:t>本公司（联合体）郑重声明，根据《政府采购促进中小企业发展管理办法》（财库﹝2020﹞46 号）的规定，本公司（联合体）参加</w:t>
      </w:r>
      <w:r>
        <w:rPr>
          <w:u w:val="single"/>
        </w:rPr>
        <w:t>（单位名称）</w:t>
      </w:r>
      <w:r>
        <w:rPr/>
        <w:t>的</w:t>
      </w:r>
      <w:r>
        <w:rPr>
          <w:u w:val="single"/>
        </w:rPr>
        <w:t>（项目名称）</w:t>
      </w:r>
      <w:r>
        <w:rPr/>
        <w:t>采购活动，工程的施工单位全部为符合政策要求的中小企业（或者：服务全部由符合政策要求的中小企业承接）。相关企业（含联合体中的中小企业、签订分包意向协议的中小企业）的具体情况如下：</w:t>
      </w:r>
    </w:p>
    <w:p>
      <w:pPr>
        <w:pStyle w:val="null3"/>
        <w:ind w:firstLine="480"/>
      </w:pPr>
      <w:r>
        <w:rPr/>
        <w:t xml:space="preserve"> 1.</w:t>
      </w:r>
      <w:r>
        <w:rPr>
          <w:u w:val="single"/>
        </w:rPr>
        <w:t>（标的名称）</w:t>
      </w:r>
      <w:r>
        <w:rPr/>
        <w:t>，属于</w:t>
      </w:r>
      <w:r>
        <w:rPr>
          <w:u w:val="single"/>
        </w:rPr>
        <w:t>（采购文件中明确的所属行业）</w:t>
      </w:r>
      <w:r>
        <w:rPr/>
        <w:t>行业；承建（承接）企业为</w:t>
      </w:r>
      <w:r>
        <w:rPr>
          <w:u w:val="single"/>
        </w:rPr>
        <w:t>（企业名称）</w:t>
      </w:r>
      <w:r>
        <w:rPr/>
        <w:t>，从业人员__________________人，营业收入为__________________万元，资产总额为__________________万元</w:t>
      </w:r>
      <w:r>
        <w:rPr>
          <w:sz w:val="7"/>
        </w:rPr>
        <w:t>1</w:t>
      </w:r>
      <w:r>
        <w:rPr/>
        <w:t>，属于</w:t>
      </w:r>
      <w:r>
        <w:rPr>
          <w:u w:val="single"/>
        </w:rPr>
        <w:t>（中型企业、小型企业、微型企业）</w:t>
      </w:r>
      <w:r>
        <w:rPr/>
        <w:t>；</w:t>
      </w:r>
    </w:p>
    <w:p>
      <w:pPr>
        <w:pStyle w:val="null3"/>
        <w:ind w:firstLine="480"/>
      </w:pPr>
      <w:r>
        <w:rPr/>
        <w:t xml:space="preserve"> 2.</w:t>
      </w:r>
      <w:r>
        <w:rPr>
          <w:u w:val="single"/>
        </w:rPr>
        <w:t>（标的名称）</w:t>
      </w:r>
      <w:r>
        <w:rPr/>
        <w:t>，属于</w:t>
      </w:r>
      <w:r>
        <w:rPr>
          <w:u w:val="single"/>
        </w:rPr>
        <w:t>（采购文件中明确的所属行业）</w:t>
      </w:r>
      <w:r>
        <w:rPr/>
        <w:t>行业；承建（承接）企业为</w:t>
      </w:r>
      <w:r>
        <w:rPr>
          <w:u w:val="single"/>
        </w:rPr>
        <w:t>（企业名称）</w:t>
      </w:r>
      <w:r>
        <w:rPr/>
        <w:t>，从业人员__________________人，营业收入为__________________万元，资产总额为__________________万元</w:t>
      </w:r>
      <w:r>
        <w:rPr>
          <w:sz w:val="7"/>
        </w:rPr>
        <w:t>1</w:t>
      </w:r>
      <w:r>
        <w:rPr/>
        <w:t>，属于</w:t>
      </w:r>
      <w:r>
        <w:rPr>
          <w:u w:val="single"/>
        </w:rPr>
        <w:t>（中型企业、小型企业、微型企业）</w:t>
      </w:r>
      <w:r>
        <w:rPr/>
        <w:t>；</w:t>
      </w:r>
    </w:p>
    <w:p>
      <w:pPr>
        <w:pStyle w:val="null3"/>
        <w:ind w:firstLine="480"/>
      </w:pPr>
      <w:r>
        <w:rPr/>
        <w:t>……</w:t>
      </w:r>
    </w:p>
    <w:p>
      <w:pPr>
        <w:pStyle w:val="null3"/>
        <w:ind w:firstLine="480"/>
      </w:pPr>
      <w:r>
        <w:rPr/>
        <w:t>以上企业，不属于大企业的分支机构，不存在控股股东为大企业的情形，也不存在与大企业的负责人为同一人的情形。</w:t>
      </w:r>
    </w:p>
    <w:p>
      <w:pPr>
        <w:pStyle w:val="null3"/>
        <w:ind w:firstLine="480"/>
      </w:pPr>
      <w:r>
        <w:rPr/>
        <w:t>本企业对上述声明内容的真实性负责。如有虚假，将依法承担相应责任。</w:t>
      </w:r>
    </w:p>
    <w:p>
      <w:pPr>
        <w:pStyle w:val="null3"/>
      </w:pPr>
      <w:r>
        <w:rPr/>
        <w:t xml:space="preserve"> 企业名称（盖章）：__________________</w:t>
      </w:r>
    </w:p>
    <w:p>
      <w:pPr>
        <w:pStyle w:val="null3"/>
      </w:pPr>
      <w:r>
        <w:rPr/>
        <w:t xml:space="preserve"> 日期： 年 月 日</w:t>
      </w:r>
    </w:p>
    <w:p>
      <w:pPr>
        <w:pStyle w:val="null3"/>
        <w:ind w:firstLine="480"/>
      </w:pPr>
      <w:r>
        <w:rPr/>
        <w:t>1：从业人员、营业收入、资产总额填报上一年度数据，无上一年度数据的新成立企业可不填报。</w:t>
      </w:r>
    </w:p>
    <w:p>
      <w:pPr>
        <w:pStyle w:val="null3"/>
        <w:ind w:firstLine="480"/>
      </w:pPr>
      <w:r>
        <w:rPr/>
        <w:t>2：投标人应当自行核实是否属于小微企业，并认真填写声明函，若有虚假将追究其责任。</w:t>
      </w:r>
    </w:p>
    <w:p>
      <w:pPr>
        <w:pStyle w:val="null3"/>
        <w:ind w:firstLine="480"/>
      </w:pPr>
      <w:r>
        <w:rPr/>
        <w:t xml:space="preserve">  </w:t>
      </w:r>
    </w:p>
    <w:p>
      <w:pPr>
        <w:pStyle w:val="null3"/>
        <w:outlineLvl w:val="2"/>
      </w:pPr>
      <w:r>
        <w:rPr>
          <w:sz w:val="28"/>
          <w:b/>
        </w:rPr>
        <w:t>格式十二：</w:t>
      </w:r>
    </w:p>
    <w:p>
      <w:pPr>
        <w:pStyle w:val="null3"/>
        <w:ind w:firstLine="480"/>
      </w:pPr>
      <w:r>
        <w:rPr/>
        <w:t>（以下格式文件由供应商根据需要选用）</w:t>
      </w:r>
    </w:p>
    <w:p>
      <w:pPr>
        <w:pStyle w:val="null3"/>
        <w:jc w:val="center"/>
        <w:outlineLvl w:val="3"/>
      </w:pPr>
      <w:r>
        <w:rPr>
          <w:sz w:val="24"/>
          <w:b/>
        </w:rPr>
        <w:t>监狱企业</w:t>
      </w:r>
    </w:p>
    <w:p>
      <w:pPr>
        <w:pStyle w:val="null3"/>
        <w:ind w:firstLine="480"/>
      </w:pPr>
      <w:r>
        <w:rPr/>
        <w:t>提供由监狱管理局、戒毒管理局（含新疆生产建设兵团）出具的属于监狱企业的证明文件。</w:t>
      </w:r>
    </w:p>
    <w:p>
      <w:pPr>
        <w:pStyle w:val="null3"/>
        <w:ind w:firstLine="480"/>
      </w:pPr>
      <w:r>
        <w:rPr/>
        <w:t xml:space="preserve">  </w:t>
      </w:r>
    </w:p>
    <w:p>
      <w:pPr>
        <w:pStyle w:val="null3"/>
        <w:outlineLvl w:val="2"/>
      </w:pPr>
      <w:r>
        <w:rPr>
          <w:sz w:val="28"/>
          <w:b/>
        </w:rPr>
        <w:t>格式十三：</w:t>
      </w:r>
    </w:p>
    <w:p>
      <w:pPr>
        <w:pStyle w:val="null3"/>
        <w:ind w:firstLine="480"/>
      </w:pPr>
      <w:r>
        <w:rPr/>
        <w:t>（以下格式文件由供应商根据需要选用）</w:t>
      </w:r>
    </w:p>
    <w:p>
      <w:pPr>
        <w:pStyle w:val="null3"/>
        <w:jc w:val="center"/>
        <w:outlineLvl w:val="3"/>
      </w:pPr>
      <w:r>
        <w:rPr>
          <w:sz w:val="24"/>
          <w:b/>
        </w:rPr>
        <w:t>残疾人福利性单位声明函</w:t>
      </w:r>
    </w:p>
    <w:p>
      <w:pPr>
        <w:pStyle w:val="null3"/>
        <w:ind w:firstLine="480"/>
      </w:pPr>
      <w:r>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pStyle w:val="null3"/>
        <w:ind w:firstLine="480"/>
      </w:pPr>
      <w:r>
        <w:rPr/>
        <w:t>本单位对上述声明的真实性负责。如有虚假，将依法承担相应责任。</w:t>
      </w:r>
    </w:p>
    <w:p>
      <w:pPr>
        <w:pStyle w:val="null3"/>
      </w:pPr>
      <w:r>
        <w:rPr/>
        <w:t xml:space="preserve"> 单位名称（盖章）：__________________</w:t>
      </w:r>
    </w:p>
    <w:p>
      <w:pPr>
        <w:pStyle w:val="null3"/>
      </w:pPr>
      <w:r>
        <w:rPr/>
        <w:t xml:space="preserve"> 日期： 年 月 日</w:t>
      </w:r>
    </w:p>
    <w:p>
      <w:pPr>
        <w:pStyle w:val="null3"/>
        <w:ind w:firstLine="480"/>
      </w:pPr>
      <w:r>
        <w:rPr/>
        <w:t>注：本函未填写或未勾选视作未做声明。</w:t>
      </w:r>
    </w:p>
    <w:p>
      <w:pPr>
        <w:pStyle w:val="null3"/>
        <w:ind w:firstLine="480"/>
      </w:pPr>
      <w:r>
        <w:rPr/>
        <w:t xml:space="preserve">  </w:t>
      </w:r>
    </w:p>
    <w:p>
      <w:pPr>
        <w:pStyle w:val="null3"/>
        <w:outlineLvl w:val="2"/>
      </w:pPr>
      <w:r>
        <w:rPr>
          <w:sz w:val="28"/>
          <w:b/>
        </w:rPr>
        <w:t>格式十四：</w:t>
      </w:r>
    </w:p>
    <w:p>
      <w:pPr>
        <w:pStyle w:val="null3"/>
        <w:ind w:firstLine="480"/>
      </w:pPr>
      <w:r>
        <w:rPr/>
        <w:t>（以下格式文件由供应商根据需要选用）</w:t>
      </w:r>
    </w:p>
    <w:p>
      <w:pPr>
        <w:pStyle w:val="null3"/>
        <w:jc w:val="center"/>
        <w:outlineLvl w:val="3"/>
      </w:pPr>
      <w:r>
        <w:rPr>
          <w:sz w:val="24"/>
          <w:b/>
        </w:rPr>
        <w:t>联合体共同投标协议书</w:t>
      </w:r>
    </w:p>
    <w:p>
      <w:pPr>
        <w:pStyle w:val="null3"/>
        <w:ind w:firstLine="480"/>
      </w:pPr>
      <w:r>
        <w:rPr/>
        <w:t>立约方：</w:t>
      </w:r>
      <w:r>
        <w:rPr>
          <w:u w:val="single"/>
        </w:rPr>
        <w:t>（甲公司全称）</w:t>
      </w:r>
    </w:p>
    <w:p>
      <w:pPr>
        <w:pStyle w:val="null3"/>
        <w:ind w:firstLine="480"/>
      </w:pPr>
      <w:r>
        <w:rPr>
          <w:u w:val="single"/>
        </w:rPr>
        <w:t>（乙公司全称）</w:t>
      </w:r>
    </w:p>
    <w:p>
      <w:pPr>
        <w:pStyle w:val="null3"/>
        <w:ind w:firstLine="480"/>
      </w:pPr>
      <w:r>
        <w:rPr>
          <w:u w:val="single"/>
        </w:rPr>
        <w:t>（……公司全称）</w:t>
      </w:r>
    </w:p>
    <w:p>
      <w:pPr>
        <w:pStyle w:val="null3"/>
        <w:ind w:firstLine="480"/>
      </w:pPr>
      <w:r>
        <w:rPr>
          <w:u w:val="single"/>
        </w:rPr>
        <w:t>（甲公司全称）、（乙公司全称）、（……公司全称）</w:t>
      </w:r>
      <w:r>
        <w:rPr/>
        <w:t>自愿组成联合体，以一个投标人的身份共同参加（采购项目名称）（采购项目编号）的响应活动。经各方充分协商一致，就项目的响应和合同实施阶段的有关事务协商一致订立协议如下：</w:t>
      </w:r>
    </w:p>
    <w:p>
      <w:pPr>
        <w:pStyle w:val="null3"/>
        <w:ind w:firstLine="480"/>
      </w:pPr>
      <w:r>
        <w:rPr/>
        <w:t>一、联合体各方关系</w:t>
      </w:r>
    </w:p>
    <w:p>
      <w:pPr>
        <w:pStyle w:val="null3"/>
        <w:ind w:firstLine="480"/>
      </w:pPr>
      <w:r>
        <w:rPr>
          <w:u w:val="single"/>
        </w:rPr>
        <w:t>（甲公司全称）、（乙公司全称）、（……公司全称）</w:t>
      </w:r>
      <w:r>
        <w:rPr/>
        <w:t>共同组成一个联合体，以一个投标人的身份共同参加本项目的响应。（甲公司全称）、（乙公司全称）、（……公司全称）作为联合体成员，若中标，联合体各方共同与（采购人）签订政府采购合同。</w:t>
      </w:r>
    </w:p>
    <w:p>
      <w:pPr>
        <w:pStyle w:val="null3"/>
        <w:ind w:firstLine="480"/>
      </w:pPr>
      <w:r>
        <w:rPr/>
        <w:t>二、联合体内部有关事项约定如下：</w:t>
      </w:r>
    </w:p>
    <w:p>
      <w:pPr>
        <w:pStyle w:val="null3"/>
        <w:ind w:firstLine="480"/>
      </w:pPr>
      <w:r>
        <w:rPr/>
        <w:t>1.（甲公司全称）作为联合体的牵头单位，代表联合体双方负责投标和合同实施阶段的主办、协调工作。</w:t>
      </w:r>
    </w:p>
    <w:p>
      <w:pPr>
        <w:pStyle w:val="null3"/>
        <w:ind w:firstLine="480"/>
      </w:pPr>
      <w:r>
        <w:rPr/>
        <w:t xml:space="preserve"> 2.联合体将严格按照文件的各项要求，递交投标文件，切实执行一切合同文件，共同承担合同规定的一切义务和责任，同时按照内部职责的划分，承担自身所负的责任和风险，在法律上承担连带责任。</w:t>
      </w:r>
    </w:p>
    <w:p>
      <w:pPr>
        <w:pStyle w:val="null3"/>
        <w:ind w:firstLine="480"/>
      </w:pPr>
      <w:r>
        <w:rPr/>
        <w:t>3.如果本联合体中标，</w:t>
      </w:r>
      <w:r>
        <w:rPr>
          <w:u w:val="single"/>
        </w:rPr>
        <w:t>（甲公司全称）</w:t>
      </w:r>
      <w:r>
        <w:rPr/>
        <w:t>负责本项目___________部分，</w:t>
      </w:r>
      <w:r>
        <w:rPr>
          <w:u w:val="single"/>
        </w:rPr>
        <w:t>（乙公司全称）</w:t>
      </w:r>
      <w:r>
        <w:rPr/>
        <w:t>负责本项目___________部分。</w:t>
      </w:r>
    </w:p>
    <w:p>
      <w:pPr>
        <w:pStyle w:val="null3"/>
        <w:ind w:firstLine="480"/>
      </w:pPr>
      <w:r>
        <w:rPr/>
        <w:t>4.如中标，联合体各方共同与（采购人）签订合同书，并就中标项目向采购人负责有连带的和各自的法律责任；</w:t>
      </w:r>
    </w:p>
    <w:p>
      <w:pPr>
        <w:pStyle w:val="null3"/>
        <w:ind w:firstLine="480"/>
      </w:pPr>
      <w:r>
        <w:rPr/>
        <w:t>5.联合体成员（公司全称）为（请填写：小型、微型）企业，将承担合同总金额_____%的工作内容（联合体成员中有小型、微型企业时适用）。</w:t>
      </w:r>
    </w:p>
    <w:p>
      <w:pPr>
        <w:pStyle w:val="null3"/>
        <w:ind w:firstLine="480"/>
      </w:pPr>
      <w:r>
        <w:rPr/>
        <w:t xml:space="preserve"> 三、联合体各方不得再以自己名义参与本采购包响应，联合体各方不能作为其它联合体或单独响应单位的项目组成员参加本采购包响应。因发生上述问题导致联合体响应成为无效报价，联合体的其他成员可追究其违约责任和经济损失。</w:t>
      </w:r>
    </w:p>
    <w:p>
      <w:pPr>
        <w:pStyle w:val="null3"/>
        <w:ind w:firstLine="480"/>
      </w:pPr>
      <w:r>
        <w:rPr/>
        <w:t>四、联合体如因违约过失责任而导致采购人经济损失或被索赔时，本联合体任何一方均同意无条件优先清偿采购人的一切债务和经济赔偿。</w:t>
      </w:r>
    </w:p>
    <w:p>
      <w:pPr>
        <w:pStyle w:val="null3"/>
        <w:ind w:firstLine="480"/>
      </w:pPr>
      <w:r>
        <w:rPr/>
        <w:t>五、本协议在自签署之日起生效，有效期内有效，如获中标资格，合同有效期延续至合同履行完毕之日。</w:t>
      </w:r>
    </w:p>
    <w:p>
      <w:pPr>
        <w:pStyle w:val="null3"/>
        <w:ind w:firstLine="480"/>
      </w:pPr>
      <w:r>
        <w:rPr/>
        <w:t>六、本协议书正本一式_____份，随投标文件装订_____份，送采购人_____份，联合体成员各一份；副本一式_____份，联合体成员各执_____份。</w:t>
      </w:r>
    </w:p>
    <w:p>
      <w:pPr>
        <w:pStyle w:val="null3"/>
      </w:pPr>
      <w:r>
        <w:rPr/>
        <w:t xml:space="preserve"> 甲公司全称：____（盖章）________，乙公司全称：____（盖章）________，……公司全称：____（盖章）________，</w:t>
      </w:r>
    </w:p>
    <w:p>
      <w:pPr>
        <w:pStyle w:val="null3"/>
      </w:pPr>
      <w:r>
        <w:rPr/>
        <w:t xml:space="preserve"> ____年____月 ____日，____年____月____日，____年____月____日</w:t>
      </w:r>
    </w:p>
    <w:p>
      <w:pPr>
        <w:pStyle w:val="null3"/>
        <w:ind w:firstLine="480"/>
      </w:pPr>
      <w:r>
        <w:rPr/>
        <w:t>注：1．联合响应时需签本协议，联合体各方成员应在本协议上共同盖章确认。</w:t>
      </w:r>
    </w:p>
    <w:p>
      <w:pPr>
        <w:pStyle w:val="null3"/>
        <w:ind w:firstLine="480"/>
      </w:pPr>
      <w:r>
        <w:rPr/>
        <w:t>2．本协议内容不得擅自修改。此协议将作为签订合同的附件之一。</w:t>
      </w:r>
    </w:p>
    <w:p>
      <w:pPr>
        <w:pStyle w:val="null3"/>
        <w:ind w:firstLine="480"/>
      </w:pPr>
      <w:r>
        <w:rPr/>
        <w:t xml:space="preserve">  </w:t>
      </w:r>
    </w:p>
    <w:p>
      <w:pPr>
        <w:pStyle w:val="null3"/>
        <w:outlineLvl w:val="2"/>
      </w:pPr>
      <w:r>
        <w:rPr>
          <w:sz w:val="28"/>
          <w:b/>
        </w:rPr>
        <w:t>格式十五：</w:t>
      </w:r>
    </w:p>
    <w:p>
      <w:pPr>
        <w:pStyle w:val="null3"/>
        <w:ind w:firstLine="480"/>
      </w:pPr>
      <w:r>
        <w:rPr/>
        <w:t>（以下格式文件由供应商根据需要选用）</w:t>
      </w:r>
    </w:p>
    <w:p>
      <w:pPr>
        <w:pStyle w:val="null3"/>
        <w:jc w:val="center"/>
        <w:outlineLvl w:val="3"/>
      </w:pPr>
      <w:r>
        <w:rPr>
          <w:sz w:val="24"/>
          <w:b/>
        </w:rPr>
        <w:t>投标人业绩情况表</w:t>
      </w:r>
    </w:p>
    <w:tbl>
      <w:tblPr>
        <w:tblW w:w="0" w:type="auto"/>
        <w:tblBorders>
          <w:top w:val="single"/>
          <w:left w:val="single"/>
          <w:bottom w:val="single"/>
          <w:right w:val="single"/>
          <w:insideH w:val="single"/>
          <w:insideV w:val="single"/>
        </w:tblBorders>
      </w:tblPr>
      <w:tblGrid>
        <w:gridCol w:w="1384"/>
        <w:gridCol w:w="1384"/>
        <w:gridCol w:w="1384"/>
        <w:gridCol w:w="1384"/>
        <w:gridCol w:w="1384"/>
        <w:gridCol w:w="1384"/>
      </w:tblGrid>
      <w:tr>
        <w:tc>
          <w:tcPr>
            <w:tcW w:type="dxa" w:w="1384"/>
          </w:tcPr>
          <w:p>
            <w:pPr>
              <w:pStyle w:val="null3"/>
            </w:pPr>
            <w:r>
              <w:rPr/>
              <w:t>序号</w:t>
            </w:r>
          </w:p>
        </w:tc>
        <w:tc>
          <w:tcPr>
            <w:tcW w:type="dxa" w:w="1384"/>
          </w:tcPr>
          <w:p>
            <w:pPr>
              <w:pStyle w:val="null3"/>
            </w:pPr>
            <w:r>
              <w:rPr/>
              <w:t>客户名称</w:t>
            </w:r>
          </w:p>
        </w:tc>
        <w:tc>
          <w:tcPr>
            <w:tcW w:type="dxa" w:w="1384"/>
          </w:tcPr>
          <w:p>
            <w:pPr>
              <w:pStyle w:val="null3"/>
            </w:pPr>
            <w:r>
              <w:rPr/>
              <w:t>项目名称及合同金额（万元）</w:t>
            </w:r>
          </w:p>
        </w:tc>
        <w:tc>
          <w:tcPr>
            <w:tcW w:type="dxa" w:w="1384"/>
          </w:tcPr>
          <w:p>
            <w:pPr>
              <w:pStyle w:val="null3"/>
            </w:pPr>
            <w:r>
              <w:rPr/>
              <w:t>签订合同时间</w:t>
            </w:r>
          </w:p>
        </w:tc>
        <w:tc>
          <w:tcPr>
            <w:tcW w:type="dxa" w:w="1384"/>
          </w:tcPr>
          <w:p>
            <w:pPr>
              <w:pStyle w:val="null3"/>
            </w:pPr>
            <w:r>
              <w:rPr/>
              <w:t>竣工验收报告时间</w:t>
            </w:r>
          </w:p>
        </w:tc>
        <w:tc>
          <w:tcPr>
            <w:tcW w:type="dxa" w:w="1384"/>
          </w:tcPr>
          <w:p>
            <w:pPr>
              <w:pStyle w:val="null3"/>
            </w:pPr>
            <w:r>
              <w:rPr/>
              <w:t>联系人及电话</w:t>
            </w:r>
          </w:p>
        </w:tc>
      </w:tr>
      <w:tr>
        <w:tc>
          <w:tcPr>
            <w:tcW w:type="dxa" w:w="1384"/>
          </w:tcPr>
          <w:p>
            <w:pPr>
              <w:pStyle w:val="null3"/>
            </w:pPr>
            <w:r>
              <w:rPr/>
              <w:t>1</w:t>
            </w:r>
          </w:p>
        </w:tc>
        <w:tc>
          <w:tcPr>
            <w:tcW w:type="dxa" w:w="1384"/>
          </w:tcPr>
          <w:p/>
        </w:tc>
        <w:tc>
          <w:tcPr>
            <w:tcW w:type="dxa" w:w="1384"/>
          </w:tcPr>
          <w:p/>
        </w:tc>
        <w:tc>
          <w:tcPr>
            <w:tcW w:type="dxa" w:w="1384"/>
          </w:tcPr>
          <w:p/>
        </w:tc>
        <w:tc>
          <w:tcPr>
            <w:tcW w:type="dxa" w:w="1384"/>
          </w:tcPr>
          <w:p/>
        </w:tc>
        <w:tc>
          <w:tcPr>
            <w:tcW w:type="dxa" w:w="1384"/>
          </w:tcPr>
          <w:p/>
        </w:tc>
      </w:tr>
      <w:tr>
        <w:tc>
          <w:tcPr>
            <w:tcW w:type="dxa" w:w="1384"/>
          </w:tcPr>
          <w:p>
            <w:pPr>
              <w:pStyle w:val="null3"/>
            </w:pPr>
            <w:r>
              <w:rPr/>
              <w:t xml:space="preserve"> 2</w:t>
            </w:r>
          </w:p>
        </w:tc>
        <w:tc>
          <w:tcPr>
            <w:tcW w:type="dxa" w:w="1384"/>
          </w:tcPr>
          <w:p/>
        </w:tc>
        <w:tc>
          <w:tcPr>
            <w:tcW w:type="dxa" w:w="1384"/>
          </w:tcPr>
          <w:p/>
        </w:tc>
        <w:tc>
          <w:tcPr>
            <w:tcW w:type="dxa" w:w="1384"/>
          </w:tcPr>
          <w:p/>
        </w:tc>
        <w:tc>
          <w:tcPr>
            <w:tcW w:type="dxa" w:w="1384"/>
          </w:tcPr>
          <w:p/>
        </w:tc>
        <w:tc>
          <w:tcPr>
            <w:tcW w:type="dxa" w:w="1384"/>
          </w:tcPr>
          <w:p/>
        </w:tc>
      </w:tr>
      <w:tr>
        <w:tc>
          <w:tcPr>
            <w:tcW w:type="dxa" w:w="1384"/>
          </w:tcPr>
          <w:p>
            <w:pPr>
              <w:pStyle w:val="null3"/>
            </w:pPr>
            <w:r>
              <w:rPr/>
              <w:t xml:space="preserve"> 3</w:t>
            </w:r>
          </w:p>
        </w:tc>
        <w:tc>
          <w:tcPr>
            <w:tcW w:type="dxa" w:w="1384"/>
          </w:tcPr>
          <w:p/>
        </w:tc>
        <w:tc>
          <w:tcPr>
            <w:tcW w:type="dxa" w:w="1384"/>
          </w:tcPr>
          <w:p/>
        </w:tc>
        <w:tc>
          <w:tcPr>
            <w:tcW w:type="dxa" w:w="1384"/>
          </w:tcPr>
          <w:p/>
        </w:tc>
        <w:tc>
          <w:tcPr>
            <w:tcW w:type="dxa" w:w="1384"/>
          </w:tcPr>
          <w:p/>
        </w:tc>
        <w:tc>
          <w:tcPr>
            <w:tcW w:type="dxa" w:w="1384"/>
          </w:tcPr>
          <w:p/>
        </w:tc>
      </w:tr>
      <w:tr>
        <w:tc>
          <w:tcPr>
            <w:tcW w:type="dxa" w:w="1384"/>
          </w:tcPr>
          <w:p>
            <w:pPr>
              <w:pStyle w:val="null3"/>
            </w:pPr>
            <w:r>
              <w:rPr/>
              <w:t xml:space="preserve"> 4</w:t>
            </w:r>
          </w:p>
        </w:tc>
        <w:tc>
          <w:tcPr>
            <w:tcW w:type="dxa" w:w="1384"/>
          </w:tcPr>
          <w:p/>
        </w:tc>
        <w:tc>
          <w:tcPr>
            <w:tcW w:type="dxa" w:w="1384"/>
          </w:tcPr>
          <w:p/>
        </w:tc>
        <w:tc>
          <w:tcPr>
            <w:tcW w:type="dxa" w:w="1384"/>
          </w:tcPr>
          <w:p/>
        </w:tc>
        <w:tc>
          <w:tcPr>
            <w:tcW w:type="dxa" w:w="1384"/>
          </w:tcPr>
          <w:p/>
        </w:tc>
        <w:tc>
          <w:tcPr>
            <w:tcW w:type="dxa" w:w="1384"/>
          </w:tcPr>
          <w:p/>
        </w:tc>
      </w:tr>
      <w:tr>
        <w:tc>
          <w:tcPr>
            <w:tcW w:type="dxa" w:w="1384"/>
          </w:tcPr>
          <w:p>
            <w:pPr>
              <w:pStyle w:val="null3"/>
            </w:pPr>
            <w:r>
              <w:rPr/>
              <w:t xml:space="preserve"> …</w:t>
            </w:r>
          </w:p>
        </w:tc>
        <w:tc>
          <w:tcPr>
            <w:tcW w:type="dxa" w:w="1384"/>
          </w:tcPr>
          <w:p/>
        </w:tc>
        <w:tc>
          <w:tcPr>
            <w:tcW w:type="dxa" w:w="1384"/>
          </w:tcPr>
          <w:p/>
        </w:tc>
        <w:tc>
          <w:tcPr>
            <w:tcW w:type="dxa" w:w="1384"/>
          </w:tcPr>
          <w:p/>
        </w:tc>
        <w:tc>
          <w:tcPr>
            <w:tcW w:type="dxa" w:w="1384"/>
          </w:tcPr>
          <w:p/>
        </w:tc>
        <w:tc>
          <w:tcPr>
            <w:tcW w:type="dxa" w:w="1384"/>
          </w:tcPr>
          <w:p/>
        </w:tc>
      </w:tr>
    </w:tbl>
    <w:p>
      <w:pPr>
        <w:pStyle w:val="null3"/>
        <w:ind w:firstLine="480"/>
      </w:pPr>
      <w:r>
        <w:rPr/>
        <w:t>根据上述业绩情况，按招标文件要求附销售或服务合同复印件及评审标准要求的证明材料。</w:t>
      </w:r>
    </w:p>
    <w:p>
      <w:pPr>
        <w:pStyle w:val="null3"/>
        <w:ind w:firstLine="480"/>
      </w:pPr>
      <w:r>
        <w:rPr/>
        <w:t xml:space="preserve">  </w:t>
      </w:r>
    </w:p>
    <w:p>
      <w:pPr>
        <w:pStyle w:val="null3"/>
        <w:outlineLvl w:val="2"/>
      </w:pPr>
      <w:r>
        <w:rPr>
          <w:sz w:val="28"/>
          <w:b/>
        </w:rPr>
        <w:t>格式十六：</w:t>
      </w:r>
    </w:p>
    <w:p>
      <w:pPr>
        <w:pStyle w:val="null3"/>
        <w:jc w:val="center"/>
        <w:outlineLvl w:val="3"/>
      </w:pPr>
      <w:r>
        <w:rPr>
          <w:sz w:val="24"/>
          <w:b/>
        </w:rPr>
        <w:t>《技术和服务要求响应表》</w:t>
      </w:r>
    </w:p>
    <w:tbl>
      <w:tblPr>
        <w:tblW w:w="0" w:type="auto"/>
        <w:tblBorders>
          <w:top w:val="single"/>
          <w:left w:val="single"/>
          <w:bottom w:val="single"/>
          <w:right w:val="single"/>
          <w:insideH w:val="single"/>
          <w:insideV w:val="single"/>
        </w:tblBorders>
      </w:tblPr>
      <w:tblGrid>
        <w:gridCol w:w="923"/>
        <w:gridCol w:w="923"/>
        <w:gridCol w:w="923"/>
        <w:gridCol w:w="923"/>
        <w:gridCol w:w="923"/>
        <w:gridCol w:w="923"/>
        <w:gridCol w:w="923"/>
        <w:gridCol w:w="923"/>
        <w:gridCol w:w="923"/>
      </w:tblGrid>
      <w:tr>
        <w:tc>
          <w:tcPr>
            <w:tcW w:type="dxa" w:w="923"/>
          </w:tcPr>
          <w:p>
            <w:pPr>
              <w:pStyle w:val="null3"/>
            </w:pPr>
            <w:r>
              <w:rPr/>
              <w:t>序号</w:t>
            </w:r>
          </w:p>
        </w:tc>
        <w:tc>
          <w:tcPr>
            <w:tcW w:type="dxa" w:w="923"/>
          </w:tcPr>
          <w:p>
            <w:pPr>
              <w:pStyle w:val="null3"/>
            </w:pPr>
            <w:r>
              <w:rPr/>
              <w:t>标的名称</w:t>
            </w:r>
          </w:p>
        </w:tc>
        <w:tc>
          <w:tcPr>
            <w:tcW w:type="dxa" w:w="923"/>
          </w:tcPr>
          <w:p>
            <w:pPr>
              <w:pStyle w:val="null3"/>
            </w:pPr>
            <w:r>
              <w:rPr/>
              <w:t>参数性质</w:t>
            </w:r>
          </w:p>
        </w:tc>
        <w:tc>
          <w:tcPr>
            <w:tcW w:type="dxa" w:w="923"/>
          </w:tcPr>
          <w:p>
            <w:pPr>
              <w:pStyle w:val="null3"/>
            </w:pPr>
            <w:r>
              <w:rPr/>
              <w:t>采购文件规定的技术和服务要求</w:t>
            </w:r>
          </w:p>
        </w:tc>
        <w:tc>
          <w:tcPr>
            <w:tcW w:type="dxa" w:w="923"/>
          </w:tcPr>
          <w:p>
            <w:pPr>
              <w:pStyle w:val="null3"/>
            </w:pPr>
            <w:r>
              <w:rPr/>
              <w:t>投标文件响应的具体内容</w:t>
            </w:r>
          </w:p>
        </w:tc>
        <w:tc>
          <w:tcPr>
            <w:tcW w:type="dxa" w:w="923"/>
          </w:tcPr>
          <w:p>
            <w:pPr>
              <w:pStyle w:val="null3"/>
            </w:pPr>
            <w:r>
              <w:rPr/>
              <w:t>型号</w:t>
            </w:r>
          </w:p>
        </w:tc>
        <w:tc>
          <w:tcPr>
            <w:tcW w:type="dxa" w:w="923"/>
          </w:tcPr>
          <w:p>
            <w:pPr>
              <w:pStyle w:val="null3"/>
            </w:pPr>
            <w:r>
              <w:rPr/>
              <w:t>是否偏离</w:t>
            </w:r>
          </w:p>
        </w:tc>
        <w:tc>
          <w:tcPr>
            <w:tcW w:type="dxa" w:w="923"/>
          </w:tcPr>
          <w:p>
            <w:pPr>
              <w:pStyle w:val="null3"/>
            </w:pPr>
            <w:r>
              <w:rPr/>
              <w:t>证明文件所在位置</w:t>
            </w:r>
          </w:p>
        </w:tc>
        <w:tc>
          <w:tcPr>
            <w:tcW w:type="dxa" w:w="923"/>
          </w:tcPr>
          <w:p>
            <w:pPr>
              <w:pStyle w:val="null3"/>
            </w:pPr>
            <w:r>
              <w:rPr/>
              <w:t>备注</w:t>
            </w:r>
          </w:p>
        </w:tc>
      </w:tr>
      <w:tr>
        <w:tc>
          <w:tcPr>
            <w:tcW w:type="dxa" w:w="923"/>
          </w:tcPr>
          <w:p>
            <w:pPr>
              <w:pStyle w:val="null3"/>
            </w:pPr>
            <w:r>
              <w:rPr/>
              <w:t>1</w:t>
            </w:r>
          </w:p>
        </w:tc>
        <w:tc>
          <w:tcPr>
            <w:tcW w:type="dxa" w:w="923"/>
          </w:tcPr>
          <w:p/>
        </w:tc>
        <w:tc>
          <w:tcPr>
            <w:tcW w:type="dxa" w:w="923"/>
          </w:tcPr>
          <w:p/>
        </w:tc>
        <w:tc>
          <w:tcPr>
            <w:tcW w:type="dxa" w:w="923"/>
          </w:tcPr>
          <w:p/>
        </w:tc>
        <w:tc>
          <w:tcPr>
            <w:tcW w:type="dxa" w:w="923"/>
          </w:tcPr>
          <w:p/>
        </w:tc>
        <w:tc>
          <w:tcPr>
            <w:tcW w:type="dxa" w:w="923"/>
          </w:tcPr>
          <w:p/>
        </w:tc>
        <w:tc>
          <w:tcPr>
            <w:tcW w:type="dxa" w:w="923"/>
          </w:tcPr>
          <w:p/>
        </w:tc>
        <w:tc>
          <w:tcPr>
            <w:tcW w:type="dxa" w:w="923"/>
          </w:tcPr>
          <w:p/>
        </w:tc>
        <w:tc>
          <w:tcPr>
            <w:tcW w:type="dxa" w:w="923"/>
          </w:tcPr>
          <w:p/>
        </w:tc>
      </w:tr>
      <w:tr>
        <w:tc>
          <w:tcPr>
            <w:tcW w:type="dxa" w:w="923"/>
          </w:tcPr>
          <w:p>
            <w:pPr>
              <w:pStyle w:val="null3"/>
            </w:pPr>
            <w:r>
              <w:rPr/>
              <w:t>2</w:t>
            </w:r>
          </w:p>
        </w:tc>
        <w:tc>
          <w:tcPr>
            <w:tcW w:type="dxa" w:w="923"/>
          </w:tcPr>
          <w:p/>
        </w:tc>
        <w:tc>
          <w:tcPr>
            <w:tcW w:type="dxa" w:w="923"/>
          </w:tcPr>
          <w:p/>
        </w:tc>
        <w:tc>
          <w:tcPr>
            <w:tcW w:type="dxa" w:w="923"/>
          </w:tcPr>
          <w:p/>
        </w:tc>
        <w:tc>
          <w:tcPr>
            <w:tcW w:type="dxa" w:w="923"/>
          </w:tcPr>
          <w:p/>
        </w:tc>
        <w:tc>
          <w:tcPr>
            <w:tcW w:type="dxa" w:w="923"/>
          </w:tcPr>
          <w:p/>
        </w:tc>
        <w:tc>
          <w:tcPr>
            <w:tcW w:type="dxa" w:w="923"/>
          </w:tcPr>
          <w:p/>
        </w:tc>
        <w:tc>
          <w:tcPr>
            <w:tcW w:type="dxa" w:w="923"/>
          </w:tcPr>
          <w:p/>
        </w:tc>
        <w:tc>
          <w:tcPr>
            <w:tcW w:type="dxa" w:w="923"/>
          </w:tcPr>
          <w:p/>
        </w:tc>
      </w:tr>
      <w:tr>
        <w:tc>
          <w:tcPr>
            <w:tcW w:type="dxa" w:w="923"/>
          </w:tcPr>
          <w:p>
            <w:pPr>
              <w:pStyle w:val="null3"/>
            </w:pPr>
            <w:r>
              <w:rPr/>
              <w:t>3</w:t>
            </w:r>
          </w:p>
        </w:tc>
        <w:tc>
          <w:tcPr>
            <w:tcW w:type="dxa" w:w="923"/>
          </w:tcPr>
          <w:p/>
        </w:tc>
        <w:tc>
          <w:tcPr>
            <w:tcW w:type="dxa" w:w="923"/>
          </w:tcPr>
          <w:p/>
        </w:tc>
        <w:tc>
          <w:tcPr>
            <w:tcW w:type="dxa" w:w="923"/>
          </w:tcPr>
          <w:p/>
        </w:tc>
        <w:tc>
          <w:tcPr>
            <w:tcW w:type="dxa" w:w="923"/>
          </w:tcPr>
          <w:p/>
        </w:tc>
        <w:tc>
          <w:tcPr>
            <w:tcW w:type="dxa" w:w="923"/>
          </w:tcPr>
          <w:p/>
        </w:tc>
        <w:tc>
          <w:tcPr>
            <w:tcW w:type="dxa" w:w="923"/>
          </w:tcPr>
          <w:p/>
        </w:tc>
        <w:tc>
          <w:tcPr>
            <w:tcW w:type="dxa" w:w="923"/>
          </w:tcPr>
          <w:p/>
        </w:tc>
        <w:tc>
          <w:tcPr>
            <w:tcW w:type="dxa" w:w="923"/>
          </w:tcPr>
          <w:p/>
        </w:tc>
      </w:tr>
      <w:tr>
        <w:tc>
          <w:tcPr>
            <w:tcW w:type="dxa" w:w="923"/>
          </w:tcPr>
          <w:p>
            <w:pPr>
              <w:pStyle w:val="null3"/>
            </w:pPr>
            <w:r>
              <w:rPr/>
              <w:t>4</w:t>
            </w:r>
          </w:p>
        </w:tc>
        <w:tc>
          <w:tcPr>
            <w:tcW w:type="dxa" w:w="923"/>
          </w:tcPr>
          <w:p/>
        </w:tc>
        <w:tc>
          <w:tcPr>
            <w:tcW w:type="dxa" w:w="923"/>
          </w:tcPr>
          <w:p/>
        </w:tc>
        <w:tc>
          <w:tcPr>
            <w:tcW w:type="dxa" w:w="923"/>
          </w:tcPr>
          <w:p/>
        </w:tc>
        <w:tc>
          <w:tcPr>
            <w:tcW w:type="dxa" w:w="923"/>
          </w:tcPr>
          <w:p/>
        </w:tc>
        <w:tc>
          <w:tcPr>
            <w:tcW w:type="dxa" w:w="923"/>
          </w:tcPr>
          <w:p/>
        </w:tc>
        <w:tc>
          <w:tcPr>
            <w:tcW w:type="dxa" w:w="923"/>
          </w:tcPr>
          <w:p/>
        </w:tc>
        <w:tc>
          <w:tcPr>
            <w:tcW w:type="dxa" w:w="923"/>
          </w:tcPr>
          <w:p/>
        </w:tc>
        <w:tc>
          <w:tcPr>
            <w:tcW w:type="dxa" w:w="923"/>
          </w:tcPr>
          <w:p/>
        </w:tc>
      </w:tr>
      <w:tr>
        <w:tc>
          <w:tcPr>
            <w:tcW w:type="dxa" w:w="923"/>
          </w:tcPr>
          <w:p>
            <w:pPr>
              <w:pStyle w:val="null3"/>
            </w:pPr>
            <w:r>
              <w:rPr/>
              <w:t>5</w:t>
            </w:r>
          </w:p>
        </w:tc>
        <w:tc>
          <w:tcPr>
            <w:tcW w:type="dxa" w:w="923"/>
          </w:tcPr>
          <w:p/>
        </w:tc>
        <w:tc>
          <w:tcPr>
            <w:tcW w:type="dxa" w:w="923"/>
          </w:tcPr>
          <w:p/>
        </w:tc>
        <w:tc>
          <w:tcPr>
            <w:tcW w:type="dxa" w:w="923"/>
          </w:tcPr>
          <w:p/>
        </w:tc>
        <w:tc>
          <w:tcPr>
            <w:tcW w:type="dxa" w:w="923"/>
          </w:tcPr>
          <w:p/>
        </w:tc>
        <w:tc>
          <w:tcPr>
            <w:tcW w:type="dxa" w:w="923"/>
          </w:tcPr>
          <w:p/>
        </w:tc>
        <w:tc>
          <w:tcPr>
            <w:tcW w:type="dxa" w:w="923"/>
          </w:tcPr>
          <w:p/>
        </w:tc>
        <w:tc>
          <w:tcPr>
            <w:tcW w:type="dxa" w:w="923"/>
          </w:tcPr>
          <w:p/>
        </w:tc>
        <w:tc>
          <w:tcPr>
            <w:tcW w:type="dxa" w:w="923"/>
          </w:tcPr>
          <w:p/>
        </w:tc>
      </w:tr>
      <w:tr>
        <w:tc>
          <w:tcPr>
            <w:tcW w:type="dxa" w:w="923"/>
          </w:tcPr>
          <w:p>
            <w:pPr>
              <w:pStyle w:val="null3"/>
            </w:pPr>
            <w:r>
              <w:rPr/>
              <w:t>6</w:t>
            </w:r>
          </w:p>
        </w:tc>
        <w:tc>
          <w:tcPr>
            <w:tcW w:type="dxa" w:w="923"/>
          </w:tcPr>
          <w:p/>
        </w:tc>
        <w:tc>
          <w:tcPr>
            <w:tcW w:type="dxa" w:w="923"/>
          </w:tcPr>
          <w:p/>
        </w:tc>
        <w:tc>
          <w:tcPr>
            <w:tcW w:type="dxa" w:w="923"/>
          </w:tcPr>
          <w:p/>
        </w:tc>
        <w:tc>
          <w:tcPr>
            <w:tcW w:type="dxa" w:w="923"/>
          </w:tcPr>
          <w:p/>
        </w:tc>
        <w:tc>
          <w:tcPr>
            <w:tcW w:type="dxa" w:w="923"/>
          </w:tcPr>
          <w:p/>
        </w:tc>
        <w:tc>
          <w:tcPr>
            <w:tcW w:type="dxa" w:w="923"/>
          </w:tcPr>
          <w:p/>
        </w:tc>
        <w:tc>
          <w:tcPr>
            <w:tcW w:type="dxa" w:w="923"/>
          </w:tcPr>
          <w:p/>
        </w:tc>
        <w:tc>
          <w:tcPr>
            <w:tcW w:type="dxa" w:w="923"/>
          </w:tcPr>
          <w:p/>
        </w:tc>
      </w:tr>
      <w:tr>
        <w:tc>
          <w:tcPr>
            <w:tcW w:type="dxa" w:w="923"/>
          </w:tcPr>
          <w:p>
            <w:pPr>
              <w:pStyle w:val="null3"/>
            </w:pPr>
            <w:r>
              <w:rPr/>
              <w:t>……</w:t>
            </w:r>
          </w:p>
        </w:tc>
        <w:tc>
          <w:tcPr>
            <w:tcW w:type="dxa" w:w="923"/>
          </w:tcPr>
          <w:p/>
        </w:tc>
        <w:tc>
          <w:tcPr>
            <w:tcW w:type="dxa" w:w="923"/>
          </w:tcPr>
          <w:p/>
        </w:tc>
        <w:tc>
          <w:tcPr>
            <w:tcW w:type="dxa" w:w="923"/>
          </w:tcPr>
          <w:p/>
        </w:tc>
        <w:tc>
          <w:tcPr>
            <w:tcW w:type="dxa" w:w="923"/>
          </w:tcPr>
          <w:p/>
        </w:tc>
        <w:tc>
          <w:tcPr>
            <w:tcW w:type="dxa" w:w="923"/>
          </w:tcPr>
          <w:p/>
        </w:tc>
        <w:tc>
          <w:tcPr>
            <w:tcW w:type="dxa" w:w="923"/>
          </w:tcPr>
          <w:p/>
        </w:tc>
        <w:tc>
          <w:tcPr>
            <w:tcW w:type="dxa" w:w="923"/>
          </w:tcPr>
          <w:p/>
        </w:tc>
        <w:tc>
          <w:tcPr>
            <w:tcW w:type="dxa" w:w="923"/>
          </w:tcPr>
          <w:p/>
        </w:tc>
      </w:tr>
    </w:tbl>
    <w:p>
      <w:pPr>
        <w:pStyle w:val="null3"/>
        <w:ind w:firstLine="480"/>
      </w:pPr>
      <w:r>
        <w:rPr/>
        <w:t>说明：</w:t>
      </w:r>
    </w:p>
    <w:p>
      <w:pPr>
        <w:pStyle w:val="null3"/>
        <w:ind w:firstLine="480"/>
      </w:pPr>
      <w:r>
        <w:rPr/>
        <w:t xml:space="preserve"> 1.“采购文件规定的技术和服务要求”项下填写的内容应与招标文件中采购需求的 “技术要求”的内容保持一致。投标人应当如实填写上表“投标文件响应的具体内容”处内容，对采购文件提出的要求和条件作出明确响应，并列明具体响应数值或内容，只注明符合、满足等无具体内容表述的，将视为未实质性满足招标文件要求。投标人需要说明的内容若需特殊表达，应先在本表中进行相应说明，再另页应答，否则投标无效。</w:t>
      </w:r>
    </w:p>
    <w:p>
      <w:pPr>
        <w:pStyle w:val="null3"/>
        <w:ind w:firstLine="480"/>
      </w:pPr>
      <w:r>
        <w:rPr/>
        <w:t xml:space="preserve"> 2. 参数性质栏目按招标文件有标注的“★”、“▲”号条款进行填写，打“★”号条款为实质性条款，若有任何一条负偏离或不满足则导致投标无效。打“▲”号条款为重要技术参数（如有），若有部分“▲”条款未响应或不满足，将根据评审要求影响其得分，但不作为无效投标条款。</w:t>
      </w:r>
    </w:p>
    <w:p>
      <w:pPr>
        <w:pStyle w:val="null3"/>
        <w:ind w:firstLine="480"/>
      </w:pPr>
      <w:r>
        <w:rPr/>
        <w:t>3. “是否偏离”项下应按下列规定填写：优于的，填写“正偏离”；符合的，填写“无偏离”；低于的，填写“负偏离”。</w:t>
      </w:r>
    </w:p>
    <w:p>
      <w:pPr>
        <w:pStyle w:val="null3"/>
        <w:ind w:firstLine="480"/>
      </w:pPr>
      <w:r>
        <w:rPr/>
        <w:t>4.“备注”处可填写偏离情况的说明。</w:t>
      </w:r>
    </w:p>
    <w:p>
      <w:pPr>
        <w:pStyle w:val="null3"/>
        <w:ind w:firstLine="480"/>
      </w:pPr>
      <w:r>
        <w:rPr/>
        <w:t xml:space="preserve">  </w:t>
      </w:r>
    </w:p>
    <w:p>
      <w:pPr>
        <w:pStyle w:val="null3"/>
        <w:outlineLvl w:val="2"/>
      </w:pPr>
      <w:r>
        <w:rPr>
          <w:sz w:val="28"/>
          <w:b/>
        </w:rPr>
        <w:t>格式十七：</w:t>
      </w:r>
    </w:p>
    <w:p>
      <w:pPr>
        <w:pStyle w:val="null3"/>
        <w:jc w:val="center"/>
        <w:outlineLvl w:val="3"/>
      </w:pPr>
      <w:r>
        <w:rPr>
          <w:sz w:val="24"/>
          <w:b/>
        </w:rPr>
        <w:t>《商务条件响应表》</w:t>
      </w:r>
    </w:p>
    <w:tbl>
      <w:tblPr>
        <w:tblW w:w="0" w:type="auto"/>
        <w:tblBorders>
          <w:top w:val="single"/>
          <w:left w:val="single"/>
          <w:bottom w:val="single"/>
          <w:right w:val="single"/>
          <w:insideH w:val="single"/>
          <w:insideV w:val="single"/>
        </w:tblBorders>
      </w:tblPr>
      <w:tblGrid>
        <w:gridCol w:w="1187"/>
        <w:gridCol w:w="1187"/>
        <w:gridCol w:w="1187"/>
        <w:gridCol w:w="1187"/>
        <w:gridCol w:w="1187"/>
        <w:gridCol w:w="1187"/>
        <w:gridCol w:w="1187"/>
      </w:tblGrid>
      <w:tr>
        <w:tc>
          <w:tcPr>
            <w:tcW w:type="dxa" w:w="1187"/>
          </w:tcPr>
          <w:p>
            <w:pPr>
              <w:pStyle w:val="null3"/>
            </w:pPr>
            <w:r>
              <w:rPr/>
              <w:t xml:space="preserve"> 序号</w:t>
            </w:r>
          </w:p>
        </w:tc>
        <w:tc>
          <w:tcPr>
            <w:tcW w:type="dxa" w:w="1187"/>
          </w:tcPr>
          <w:p>
            <w:pPr>
              <w:pStyle w:val="null3"/>
            </w:pPr>
            <w:r>
              <w:rPr/>
              <w:t xml:space="preserve"> 参数性质</w:t>
            </w:r>
          </w:p>
        </w:tc>
        <w:tc>
          <w:tcPr>
            <w:tcW w:type="dxa" w:w="1187"/>
          </w:tcPr>
          <w:p>
            <w:pPr>
              <w:pStyle w:val="null3"/>
            </w:pPr>
            <w:r>
              <w:rPr/>
              <w:t xml:space="preserve"> 采购文件规定的商务条件</w:t>
            </w:r>
          </w:p>
        </w:tc>
        <w:tc>
          <w:tcPr>
            <w:tcW w:type="dxa" w:w="1187"/>
          </w:tcPr>
          <w:p>
            <w:pPr>
              <w:pStyle w:val="null3"/>
            </w:pPr>
            <w:r>
              <w:rPr/>
              <w:t xml:space="preserve"> 投标文件响应的具体内容</w:t>
            </w:r>
          </w:p>
        </w:tc>
        <w:tc>
          <w:tcPr>
            <w:tcW w:type="dxa" w:w="1187"/>
          </w:tcPr>
          <w:p>
            <w:pPr>
              <w:pStyle w:val="null3"/>
            </w:pPr>
            <w:r>
              <w:rPr/>
              <w:t xml:space="preserve"> 是否偏离</w:t>
            </w:r>
          </w:p>
        </w:tc>
        <w:tc>
          <w:tcPr>
            <w:tcW w:type="dxa" w:w="1187"/>
          </w:tcPr>
          <w:p>
            <w:pPr>
              <w:pStyle w:val="null3"/>
            </w:pPr>
            <w:r>
              <w:rPr/>
              <w:t xml:space="preserve"> 证明文件所在位置</w:t>
            </w:r>
          </w:p>
        </w:tc>
        <w:tc>
          <w:tcPr>
            <w:tcW w:type="dxa" w:w="1187"/>
          </w:tcPr>
          <w:p>
            <w:pPr>
              <w:pStyle w:val="null3"/>
            </w:pPr>
            <w:r>
              <w:rPr/>
              <w:t xml:space="preserve"> 备注</w:t>
            </w:r>
          </w:p>
        </w:tc>
      </w:tr>
      <w:tr>
        <w:tc>
          <w:tcPr>
            <w:tcW w:type="dxa" w:w="1187"/>
          </w:tcPr>
          <w:p>
            <w:pPr>
              <w:pStyle w:val="null3"/>
            </w:pPr>
            <w:r>
              <w:rPr/>
              <w:t>1</w:t>
            </w:r>
          </w:p>
        </w:tc>
        <w:tc>
          <w:tcPr>
            <w:tcW w:type="dxa" w:w="1187"/>
          </w:tcPr>
          <w:p/>
        </w:tc>
        <w:tc>
          <w:tcPr>
            <w:tcW w:type="dxa" w:w="1187"/>
          </w:tcPr>
          <w:p/>
        </w:tc>
        <w:tc>
          <w:tcPr>
            <w:tcW w:type="dxa" w:w="1187"/>
          </w:tcPr>
          <w:p/>
        </w:tc>
        <w:tc>
          <w:tcPr>
            <w:tcW w:type="dxa" w:w="1187"/>
          </w:tcPr>
          <w:p/>
        </w:tc>
        <w:tc>
          <w:tcPr>
            <w:tcW w:type="dxa" w:w="1187"/>
          </w:tcPr>
          <w:p/>
        </w:tc>
        <w:tc>
          <w:tcPr>
            <w:tcW w:type="dxa" w:w="1187"/>
          </w:tcPr>
          <w:p/>
        </w:tc>
      </w:tr>
      <w:tr>
        <w:tc>
          <w:tcPr>
            <w:tcW w:type="dxa" w:w="1187"/>
          </w:tcPr>
          <w:p>
            <w:pPr>
              <w:pStyle w:val="null3"/>
            </w:pPr>
            <w:r>
              <w:rPr/>
              <w:t>2</w:t>
            </w:r>
          </w:p>
        </w:tc>
        <w:tc>
          <w:tcPr>
            <w:tcW w:type="dxa" w:w="1187"/>
          </w:tcPr>
          <w:p/>
        </w:tc>
        <w:tc>
          <w:tcPr>
            <w:tcW w:type="dxa" w:w="1187"/>
          </w:tcPr>
          <w:p/>
        </w:tc>
        <w:tc>
          <w:tcPr>
            <w:tcW w:type="dxa" w:w="1187"/>
          </w:tcPr>
          <w:p/>
        </w:tc>
        <w:tc>
          <w:tcPr>
            <w:tcW w:type="dxa" w:w="1187"/>
          </w:tcPr>
          <w:p/>
        </w:tc>
        <w:tc>
          <w:tcPr>
            <w:tcW w:type="dxa" w:w="1187"/>
          </w:tcPr>
          <w:p/>
        </w:tc>
        <w:tc>
          <w:tcPr>
            <w:tcW w:type="dxa" w:w="1187"/>
          </w:tcPr>
          <w:p/>
        </w:tc>
      </w:tr>
      <w:tr>
        <w:tc>
          <w:tcPr>
            <w:tcW w:type="dxa" w:w="1187"/>
          </w:tcPr>
          <w:p>
            <w:pPr>
              <w:pStyle w:val="null3"/>
            </w:pPr>
            <w:r>
              <w:rPr/>
              <w:t>3</w:t>
            </w:r>
          </w:p>
        </w:tc>
        <w:tc>
          <w:tcPr>
            <w:tcW w:type="dxa" w:w="1187"/>
          </w:tcPr>
          <w:p/>
        </w:tc>
        <w:tc>
          <w:tcPr>
            <w:tcW w:type="dxa" w:w="1187"/>
          </w:tcPr>
          <w:p/>
        </w:tc>
        <w:tc>
          <w:tcPr>
            <w:tcW w:type="dxa" w:w="1187"/>
          </w:tcPr>
          <w:p/>
        </w:tc>
        <w:tc>
          <w:tcPr>
            <w:tcW w:type="dxa" w:w="1187"/>
          </w:tcPr>
          <w:p/>
        </w:tc>
        <w:tc>
          <w:tcPr>
            <w:tcW w:type="dxa" w:w="1187"/>
          </w:tcPr>
          <w:p/>
        </w:tc>
        <w:tc>
          <w:tcPr>
            <w:tcW w:type="dxa" w:w="1187"/>
          </w:tcPr>
          <w:p/>
        </w:tc>
      </w:tr>
      <w:tr>
        <w:tc>
          <w:tcPr>
            <w:tcW w:type="dxa" w:w="1187"/>
          </w:tcPr>
          <w:p>
            <w:pPr>
              <w:pStyle w:val="null3"/>
            </w:pPr>
            <w:r>
              <w:rPr/>
              <w:t>4</w:t>
            </w:r>
          </w:p>
        </w:tc>
        <w:tc>
          <w:tcPr>
            <w:tcW w:type="dxa" w:w="1187"/>
          </w:tcPr>
          <w:p/>
        </w:tc>
        <w:tc>
          <w:tcPr>
            <w:tcW w:type="dxa" w:w="1187"/>
          </w:tcPr>
          <w:p/>
        </w:tc>
        <w:tc>
          <w:tcPr>
            <w:tcW w:type="dxa" w:w="1187"/>
          </w:tcPr>
          <w:p/>
        </w:tc>
        <w:tc>
          <w:tcPr>
            <w:tcW w:type="dxa" w:w="1187"/>
          </w:tcPr>
          <w:p/>
        </w:tc>
        <w:tc>
          <w:tcPr>
            <w:tcW w:type="dxa" w:w="1187"/>
          </w:tcPr>
          <w:p/>
        </w:tc>
        <w:tc>
          <w:tcPr>
            <w:tcW w:type="dxa" w:w="1187"/>
          </w:tcPr>
          <w:p/>
        </w:tc>
      </w:tr>
      <w:tr>
        <w:tc>
          <w:tcPr>
            <w:tcW w:type="dxa" w:w="1187"/>
          </w:tcPr>
          <w:p>
            <w:pPr>
              <w:pStyle w:val="null3"/>
            </w:pPr>
            <w:r>
              <w:rPr/>
              <w:t>5</w:t>
            </w:r>
          </w:p>
        </w:tc>
        <w:tc>
          <w:tcPr>
            <w:tcW w:type="dxa" w:w="1187"/>
          </w:tcPr>
          <w:p/>
        </w:tc>
        <w:tc>
          <w:tcPr>
            <w:tcW w:type="dxa" w:w="1187"/>
          </w:tcPr>
          <w:p/>
        </w:tc>
        <w:tc>
          <w:tcPr>
            <w:tcW w:type="dxa" w:w="1187"/>
          </w:tcPr>
          <w:p/>
        </w:tc>
        <w:tc>
          <w:tcPr>
            <w:tcW w:type="dxa" w:w="1187"/>
          </w:tcPr>
          <w:p/>
        </w:tc>
        <w:tc>
          <w:tcPr>
            <w:tcW w:type="dxa" w:w="1187"/>
          </w:tcPr>
          <w:p/>
        </w:tc>
        <w:tc>
          <w:tcPr>
            <w:tcW w:type="dxa" w:w="1187"/>
          </w:tcPr>
          <w:p/>
        </w:tc>
      </w:tr>
      <w:tr>
        <w:tc>
          <w:tcPr>
            <w:tcW w:type="dxa" w:w="1187"/>
          </w:tcPr>
          <w:p>
            <w:pPr>
              <w:pStyle w:val="null3"/>
            </w:pPr>
            <w:r>
              <w:rPr/>
              <w:t>6</w:t>
            </w:r>
          </w:p>
        </w:tc>
        <w:tc>
          <w:tcPr>
            <w:tcW w:type="dxa" w:w="1187"/>
          </w:tcPr>
          <w:p/>
        </w:tc>
        <w:tc>
          <w:tcPr>
            <w:tcW w:type="dxa" w:w="1187"/>
          </w:tcPr>
          <w:p/>
        </w:tc>
        <w:tc>
          <w:tcPr>
            <w:tcW w:type="dxa" w:w="1187"/>
          </w:tcPr>
          <w:p/>
        </w:tc>
        <w:tc>
          <w:tcPr>
            <w:tcW w:type="dxa" w:w="1187"/>
          </w:tcPr>
          <w:p/>
        </w:tc>
        <w:tc>
          <w:tcPr>
            <w:tcW w:type="dxa" w:w="1187"/>
          </w:tcPr>
          <w:p/>
        </w:tc>
        <w:tc>
          <w:tcPr>
            <w:tcW w:type="dxa" w:w="1187"/>
          </w:tcPr>
          <w:p/>
        </w:tc>
      </w:tr>
      <w:tr>
        <w:tc>
          <w:tcPr>
            <w:tcW w:type="dxa" w:w="1187"/>
          </w:tcPr>
          <w:p>
            <w:pPr>
              <w:pStyle w:val="null3"/>
            </w:pPr>
            <w:r>
              <w:rPr/>
              <w:t>7</w:t>
            </w:r>
          </w:p>
        </w:tc>
        <w:tc>
          <w:tcPr>
            <w:tcW w:type="dxa" w:w="1187"/>
          </w:tcPr>
          <w:p/>
        </w:tc>
        <w:tc>
          <w:tcPr>
            <w:tcW w:type="dxa" w:w="1187"/>
          </w:tcPr>
          <w:p/>
        </w:tc>
        <w:tc>
          <w:tcPr>
            <w:tcW w:type="dxa" w:w="1187"/>
          </w:tcPr>
          <w:p/>
        </w:tc>
        <w:tc>
          <w:tcPr>
            <w:tcW w:type="dxa" w:w="1187"/>
          </w:tcPr>
          <w:p/>
        </w:tc>
        <w:tc>
          <w:tcPr>
            <w:tcW w:type="dxa" w:w="1187"/>
          </w:tcPr>
          <w:p/>
        </w:tc>
        <w:tc>
          <w:tcPr>
            <w:tcW w:type="dxa" w:w="1187"/>
          </w:tcPr>
          <w:p/>
        </w:tc>
      </w:tr>
      <w:tr>
        <w:tc>
          <w:tcPr>
            <w:tcW w:type="dxa" w:w="1187"/>
          </w:tcPr>
          <w:p>
            <w:pPr>
              <w:pStyle w:val="null3"/>
            </w:pPr>
            <w:r>
              <w:rPr/>
              <w:t>8</w:t>
            </w:r>
          </w:p>
        </w:tc>
        <w:tc>
          <w:tcPr>
            <w:tcW w:type="dxa" w:w="1187"/>
          </w:tcPr>
          <w:p/>
        </w:tc>
        <w:tc>
          <w:tcPr>
            <w:tcW w:type="dxa" w:w="1187"/>
          </w:tcPr>
          <w:p/>
        </w:tc>
        <w:tc>
          <w:tcPr>
            <w:tcW w:type="dxa" w:w="1187"/>
          </w:tcPr>
          <w:p/>
        </w:tc>
        <w:tc>
          <w:tcPr>
            <w:tcW w:type="dxa" w:w="1187"/>
          </w:tcPr>
          <w:p/>
        </w:tc>
        <w:tc>
          <w:tcPr>
            <w:tcW w:type="dxa" w:w="1187"/>
          </w:tcPr>
          <w:p/>
        </w:tc>
        <w:tc>
          <w:tcPr>
            <w:tcW w:type="dxa" w:w="1187"/>
          </w:tcPr>
          <w:p/>
        </w:tc>
      </w:tr>
      <w:tr>
        <w:tc>
          <w:tcPr>
            <w:tcW w:type="dxa" w:w="1187"/>
          </w:tcPr>
          <w:p>
            <w:pPr>
              <w:pStyle w:val="null3"/>
            </w:pPr>
            <w:r>
              <w:rPr/>
              <w:t>9</w:t>
            </w:r>
          </w:p>
        </w:tc>
        <w:tc>
          <w:tcPr>
            <w:tcW w:type="dxa" w:w="1187"/>
          </w:tcPr>
          <w:p/>
        </w:tc>
        <w:tc>
          <w:tcPr>
            <w:tcW w:type="dxa" w:w="1187"/>
          </w:tcPr>
          <w:p/>
        </w:tc>
        <w:tc>
          <w:tcPr>
            <w:tcW w:type="dxa" w:w="1187"/>
          </w:tcPr>
          <w:p/>
        </w:tc>
        <w:tc>
          <w:tcPr>
            <w:tcW w:type="dxa" w:w="1187"/>
          </w:tcPr>
          <w:p/>
        </w:tc>
        <w:tc>
          <w:tcPr>
            <w:tcW w:type="dxa" w:w="1187"/>
          </w:tcPr>
          <w:p/>
        </w:tc>
        <w:tc>
          <w:tcPr>
            <w:tcW w:type="dxa" w:w="1187"/>
          </w:tcPr>
          <w:p/>
        </w:tc>
      </w:tr>
      <w:tr>
        <w:tc>
          <w:tcPr>
            <w:tcW w:type="dxa" w:w="1187"/>
          </w:tcPr>
          <w:p>
            <w:pPr>
              <w:pStyle w:val="null3"/>
            </w:pPr>
            <w:r>
              <w:rPr/>
              <w:t xml:space="preserve"> ……</w:t>
            </w:r>
          </w:p>
        </w:tc>
        <w:tc>
          <w:tcPr>
            <w:tcW w:type="dxa" w:w="1187"/>
          </w:tcPr>
          <w:p/>
        </w:tc>
        <w:tc>
          <w:tcPr>
            <w:tcW w:type="dxa" w:w="1187"/>
          </w:tcPr>
          <w:p/>
        </w:tc>
        <w:tc>
          <w:tcPr>
            <w:tcW w:type="dxa" w:w="1187"/>
          </w:tcPr>
          <w:p/>
        </w:tc>
        <w:tc>
          <w:tcPr>
            <w:tcW w:type="dxa" w:w="1187"/>
          </w:tcPr>
          <w:p/>
        </w:tc>
        <w:tc>
          <w:tcPr>
            <w:tcW w:type="dxa" w:w="1187"/>
          </w:tcPr>
          <w:p/>
        </w:tc>
        <w:tc>
          <w:tcPr>
            <w:tcW w:type="dxa" w:w="1187"/>
          </w:tcPr>
          <w:p/>
        </w:tc>
      </w:tr>
    </w:tbl>
    <w:p>
      <w:pPr>
        <w:pStyle w:val="null3"/>
        <w:ind w:firstLine="480"/>
      </w:pPr>
      <w:r>
        <w:rPr/>
        <w:t>说明：</w:t>
      </w:r>
    </w:p>
    <w:p>
      <w:pPr>
        <w:pStyle w:val="null3"/>
        <w:ind w:firstLine="480"/>
      </w:pPr>
      <w:r>
        <w:rPr/>
        <w:t>1. “采购文件规定的商务条件”项下填写的内容应与招标文件中采购需求的 “商务要求”的内容保持一致。</w:t>
      </w:r>
    </w:p>
    <w:p>
      <w:pPr>
        <w:pStyle w:val="null3"/>
        <w:ind w:firstLine="480"/>
      </w:pPr>
      <w:r>
        <w:rPr/>
        <w:t>2. 投标人应当如实填写上表“投标文件响应的具体内容”处内容，对采购文件规定的商务条件作出明确响应，并列明具体响应数值或内容，只注明符合、满足等无具体内容表述的，将视为未实质性满足招标文件要求。投标人需要说明的内容若需特殊表达，应先在本表中进行相应说明，再另页应答，否则投标无效。</w:t>
      </w:r>
    </w:p>
    <w:p>
      <w:pPr>
        <w:pStyle w:val="null3"/>
        <w:ind w:firstLine="480"/>
      </w:pPr>
      <w:r>
        <w:rPr/>
        <w:t>3. 参数性质栏目按招标文件有标注的“★”、“▲”号条款进行填写，打“★”号条款为实质性条款，若有任何一条负偏离或不满足则导致投标无效。打“▲”号条款为重要技术参数（如有），若有部分“▲”条款未响应或不满足，将根据评审要求影响其得分，但不作为无效投标条款。</w:t>
      </w:r>
    </w:p>
    <w:p>
      <w:pPr>
        <w:pStyle w:val="null3"/>
        <w:ind w:firstLine="480"/>
      </w:pPr>
      <w:r>
        <w:rPr/>
        <w:t>4. “是否偏离”项下应按下列规定填写：优于的，填写“正偏离”；符合的，填写“无偏离”；低于的，填写“负偏离”。</w:t>
      </w:r>
    </w:p>
    <w:p>
      <w:pPr>
        <w:pStyle w:val="null3"/>
        <w:ind w:firstLine="480"/>
      </w:pPr>
      <w:r>
        <w:rPr/>
        <w:t>5.“备注”处可填写偏离情况的说明。</w:t>
      </w:r>
    </w:p>
    <w:p>
      <w:pPr>
        <w:pStyle w:val="null3"/>
        <w:ind w:firstLine="480"/>
      </w:pPr>
      <w:r>
        <w:rPr/>
        <w:t xml:space="preserve">  </w:t>
      </w:r>
    </w:p>
    <w:p>
      <w:pPr>
        <w:pStyle w:val="null3"/>
        <w:outlineLvl w:val="2"/>
      </w:pPr>
      <w:r>
        <w:rPr>
          <w:sz w:val="28"/>
          <w:b/>
        </w:rPr>
        <w:t>格式十八：</w:t>
      </w:r>
    </w:p>
    <w:p>
      <w:pPr>
        <w:pStyle w:val="null3"/>
        <w:ind w:firstLine="480"/>
      </w:pPr>
      <w:r>
        <w:rPr/>
        <w:t>（以下格式文件由供应商根据需要选用）</w:t>
      </w:r>
    </w:p>
    <w:p>
      <w:pPr>
        <w:pStyle w:val="null3"/>
        <w:jc w:val="center"/>
        <w:outlineLvl w:val="3"/>
      </w:pPr>
      <w:r>
        <w:rPr>
          <w:sz w:val="24"/>
          <w:b/>
        </w:rPr>
        <w:t>履约进度计划表</w:t>
      </w:r>
    </w:p>
    <w:tbl>
      <w:tblPr>
        <w:tblW w:w="0" w:type="auto"/>
        <w:tblBorders>
          <w:top w:val="single"/>
          <w:left w:val="single"/>
          <w:bottom w:val="single"/>
          <w:right w:val="single"/>
          <w:insideH w:val="single"/>
          <w:insideV w:val="single"/>
        </w:tblBorders>
      </w:tblPr>
      <w:tblGrid>
        <w:gridCol w:w="2076"/>
        <w:gridCol w:w="2076"/>
        <w:gridCol w:w="2076"/>
        <w:gridCol w:w="2076"/>
      </w:tblGrid>
      <w:tr>
        <w:tc>
          <w:tcPr>
            <w:tcW w:type="dxa" w:w="2076"/>
          </w:tcPr>
          <w:p>
            <w:pPr>
              <w:pStyle w:val="null3"/>
            </w:pPr>
            <w:r>
              <w:rPr/>
              <w:t>序号</w:t>
            </w:r>
          </w:p>
        </w:tc>
        <w:tc>
          <w:tcPr>
            <w:tcW w:type="dxa" w:w="2076"/>
          </w:tcPr>
          <w:p>
            <w:pPr>
              <w:pStyle w:val="null3"/>
            </w:pPr>
            <w:r>
              <w:rPr/>
              <w:t xml:space="preserve"> 拟定时间安排</w:t>
            </w:r>
          </w:p>
        </w:tc>
        <w:tc>
          <w:tcPr>
            <w:tcW w:type="dxa" w:w="2076"/>
          </w:tcPr>
          <w:p>
            <w:pPr>
              <w:pStyle w:val="null3"/>
            </w:pPr>
            <w:r>
              <w:rPr/>
              <w:t xml:space="preserve"> 计划完成的工作内容</w:t>
            </w:r>
          </w:p>
        </w:tc>
        <w:tc>
          <w:tcPr>
            <w:tcW w:type="dxa" w:w="2076"/>
          </w:tcPr>
          <w:p>
            <w:pPr>
              <w:pStyle w:val="null3"/>
            </w:pPr>
            <w:r>
              <w:rPr/>
              <w:t xml:space="preserve"> 实施方建议或要求</w:t>
            </w:r>
          </w:p>
        </w:tc>
      </w:tr>
      <w:tr>
        <w:tc>
          <w:tcPr>
            <w:tcW w:type="dxa" w:w="2076"/>
          </w:tcPr>
          <w:p>
            <w:pPr>
              <w:pStyle w:val="null3"/>
            </w:pPr>
            <w:r>
              <w:rPr/>
              <w:t xml:space="preserve"> 1</w:t>
            </w:r>
          </w:p>
        </w:tc>
        <w:tc>
          <w:tcPr>
            <w:tcW w:type="dxa" w:w="2076"/>
          </w:tcPr>
          <w:p>
            <w:pPr>
              <w:pStyle w:val="null3"/>
            </w:pPr>
            <w:r>
              <w:rPr/>
              <w:t xml:space="preserve"> 拟定___年___月___日</w:t>
            </w:r>
          </w:p>
        </w:tc>
        <w:tc>
          <w:tcPr>
            <w:tcW w:type="dxa" w:w="2076"/>
          </w:tcPr>
          <w:p>
            <w:pPr>
              <w:pStyle w:val="null3"/>
            </w:pPr>
            <w:r>
              <w:rPr/>
              <w:t xml:space="preserve"> 签订合同并生效</w:t>
            </w:r>
          </w:p>
        </w:tc>
        <w:tc>
          <w:tcPr>
            <w:tcW w:type="dxa" w:w="2076"/>
          </w:tcPr>
          <w:p/>
        </w:tc>
      </w:tr>
      <w:tr>
        <w:tc>
          <w:tcPr>
            <w:tcW w:type="dxa" w:w="2076"/>
          </w:tcPr>
          <w:p>
            <w:pPr>
              <w:pStyle w:val="null3"/>
            </w:pPr>
            <w:r>
              <w:rPr/>
              <w:t xml:space="preserve"> 2</w:t>
            </w:r>
          </w:p>
        </w:tc>
        <w:tc>
          <w:tcPr>
            <w:tcW w:type="dxa" w:w="2076"/>
          </w:tcPr>
          <w:p>
            <w:pPr>
              <w:pStyle w:val="null3"/>
            </w:pPr>
            <w:r>
              <w:rPr/>
              <w:t xml:space="preserve"> ___月___日—___月___日</w:t>
            </w:r>
          </w:p>
        </w:tc>
        <w:tc>
          <w:tcPr>
            <w:tcW w:type="dxa" w:w="2076"/>
          </w:tcPr>
          <w:p/>
        </w:tc>
        <w:tc>
          <w:tcPr>
            <w:tcW w:type="dxa" w:w="2076"/>
          </w:tcPr>
          <w:p/>
        </w:tc>
      </w:tr>
      <w:tr>
        <w:tc>
          <w:tcPr>
            <w:tcW w:type="dxa" w:w="2076"/>
          </w:tcPr>
          <w:p>
            <w:pPr>
              <w:pStyle w:val="null3"/>
            </w:pPr>
            <w:r>
              <w:rPr/>
              <w:t xml:space="preserve"> 3</w:t>
            </w:r>
          </w:p>
        </w:tc>
        <w:tc>
          <w:tcPr>
            <w:tcW w:type="dxa" w:w="2076"/>
          </w:tcPr>
          <w:p>
            <w:pPr>
              <w:pStyle w:val="null3"/>
            </w:pPr>
            <w:r>
              <w:rPr/>
              <w:t xml:space="preserve"> ___月___日—___月___日</w:t>
            </w:r>
          </w:p>
        </w:tc>
        <w:tc>
          <w:tcPr>
            <w:tcW w:type="dxa" w:w="2076"/>
          </w:tcPr>
          <w:p/>
        </w:tc>
        <w:tc>
          <w:tcPr>
            <w:tcW w:type="dxa" w:w="2076"/>
          </w:tcPr>
          <w:p/>
        </w:tc>
      </w:tr>
      <w:tr>
        <w:tc>
          <w:tcPr>
            <w:tcW w:type="dxa" w:w="2076"/>
          </w:tcPr>
          <w:p>
            <w:pPr>
              <w:pStyle w:val="null3"/>
            </w:pPr>
            <w:r>
              <w:rPr/>
              <w:t xml:space="preserve"> 4</w:t>
            </w:r>
          </w:p>
        </w:tc>
        <w:tc>
          <w:tcPr>
            <w:tcW w:type="dxa" w:w="2076"/>
          </w:tcPr>
          <w:p>
            <w:pPr>
              <w:pStyle w:val="null3"/>
            </w:pPr>
            <w:r>
              <w:rPr/>
              <w:t xml:space="preserve"> ___月___日—___月___日</w:t>
            </w:r>
          </w:p>
        </w:tc>
        <w:tc>
          <w:tcPr>
            <w:tcW w:type="dxa" w:w="2076"/>
          </w:tcPr>
          <w:p>
            <w:pPr>
              <w:pStyle w:val="null3"/>
            </w:pPr>
            <w:r>
              <w:rPr/>
              <w:t xml:space="preserve"> 质保期</w:t>
            </w:r>
          </w:p>
        </w:tc>
        <w:tc>
          <w:tcPr>
            <w:tcW w:type="dxa" w:w="2076"/>
          </w:tcPr>
          <w:p/>
        </w:tc>
      </w:tr>
    </w:tbl>
    <w:p>
      <w:pPr>
        <w:pStyle w:val="null3"/>
        <w:ind w:firstLine="480"/>
      </w:pPr>
      <w:r>
        <w:rPr/>
        <w:t xml:space="preserve">  </w:t>
      </w:r>
    </w:p>
    <w:p>
      <w:pPr>
        <w:pStyle w:val="null3"/>
        <w:outlineLvl w:val="2"/>
      </w:pPr>
      <w:r>
        <w:rPr>
          <w:sz w:val="28"/>
          <w:b/>
        </w:rPr>
        <w:t>格式十九：</w:t>
      </w:r>
    </w:p>
    <w:p>
      <w:pPr>
        <w:pStyle w:val="null3"/>
        <w:ind w:firstLine="480"/>
      </w:pPr>
      <w:r>
        <w:rPr/>
        <w:t>（以下格式文件由供应商根据需要选用）</w:t>
      </w:r>
    </w:p>
    <w:p>
      <w:pPr>
        <w:pStyle w:val="null3"/>
        <w:jc w:val="center"/>
        <w:outlineLvl w:val="3"/>
      </w:pPr>
      <w:r>
        <w:rPr>
          <w:sz w:val="24"/>
          <w:b/>
        </w:rPr>
        <w:t>各类证明材料</w:t>
      </w:r>
    </w:p>
    <w:p>
      <w:pPr>
        <w:pStyle w:val="null3"/>
        <w:ind w:firstLine="480"/>
      </w:pPr>
      <w:r>
        <w:rPr/>
        <w:t>1.招标文件要求提供的其他资料。</w:t>
      </w:r>
    </w:p>
    <w:p>
      <w:pPr>
        <w:pStyle w:val="null3"/>
        <w:ind w:firstLine="480"/>
      </w:pPr>
      <w:r>
        <w:rPr/>
        <w:t>2.投标人认为需提供的其他资料。</w:t>
      </w:r>
    </w:p>
    <w:p>
      <w:pPr>
        <w:pStyle w:val="null3"/>
        <w:ind w:firstLine="480"/>
      </w:pPr>
      <w:r>
        <w:rPr/>
        <w:t xml:space="preserve">  </w:t>
      </w:r>
    </w:p>
    <w:p>
      <w:pPr>
        <w:pStyle w:val="null3"/>
        <w:outlineLvl w:val="2"/>
      </w:pPr>
      <w:r>
        <w:rPr>
          <w:sz w:val="28"/>
          <w:b/>
        </w:rPr>
        <w:t>格式二十：</w:t>
      </w:r>
    </w:p>
    <w:p>
      <w:pPr>
        <w:pStyle w:val="null3"/>
        <w:jc w:val="center"/>
        <w:outlineLvl w:val="3"/>
      </w:pPr>
      <w:r>
        <w:rPr>
          <w:sz w:val="24"/>
          <w:b/>
        </w:rPr>
        <w:t>采购代理服务费支付承诺书</w:t>
      </w:r>
    </w:p>
    <w:p>
      <w:pPr>
        <w:pStyle w:val="null3"/>
        <w:ind w:firstLine="480"/>
      </w:pPr>
      <w:r>
        <w:rPr/>
        <w:t>致：</w:t>
      </w:r>
      <w:r>
        <w:rPr/>
        <w:t>广东有德招标采购有限公司</w:t>
      </w:r>
    </w:p>
    <w:p>
      <w:pPr>
        <w:pStyle w:val="null3"/>
        <w:ind w:firstLine="480"/>
      </w:pPr>
      <w:r>
        <w:rPr/>
        <w:t xml:space="preserve"> 如果我方在贵采购代理机构组织的</w:t>
      </w:r>
      <w:r>
        <w:rPr/>
        <w:t>广东交通职业技术学院智慧校园综合服务平台三期建设项目</w:t>
      </w:r>
      <w:r>
        <w:rPr/>
        <w:t>招标中获中标（采购项目编号：</w:t>
      </w:r>
      <w:r>
        <w:rPr/>
        <w:t>1210-2541YDZB9562</w:t>
      </w:r>
      <w:r>
        <w:rPr/>
        <w:t>），我方保证在收取《中标通知书》时，按招标文件对代理服务费支付方式的约定，承担本项目代理服务费。</w:t>
      </w:r>
    </w:p>
    <w:p>
      <w:pPr>
        <w:pStyle w:val="null3"/>
        <w:ind w:firstLine="480"/>
      </w:pPr>
      <w:r>
        <w:rPr/>
        <w:t xml:space="preserve"> 我方如违约，愿凭贵单位开出的违约通知，从我方提交的投标保证金中支付，不足部分由采购人在支付我方的中标合同款中代为扣付；以投标担保函（或保险保函）方式提交投标保证金时，同意和要求投标担保函开立银行或担保机构、保险保函开立的保险机构应</w:t>
      </w:r>
      <w:r>
        <w:rPr/>
        <w:t>广东有德招标采购有限公司</w:t>
      </w:r>
      <w:r>
        <w:rPr/>
        <w:t>的要求办理支付手续。</w:t>
      </w:r>
    </w:p>
    <w:p>
      <w:pPr>
        <w:pStyle w:val="null3"/>
        <w:ind w:firstLine="480"/>
      </w:pPr>
      <w:r>
        <w:rPr/>
        <w:t>特此承诺！</w:t>
      </w:r>
    </w:p>
    <w:p>
      <w:pPr>
        <w:pStyle w:val="null3"/>
      </w:pPr>
      <w:r>
        <w:rPr/>
        <w:t>投标人法定名称（公章）；_____________________</w:t>
      </w:r>
    </w:p>
    <w:p>
      <w:pPr>
        <w:pStyle w:val="null3"/>
      </w:pPr>
      <w:r>
        <w:rPr/>
        <w:t>投标人法定地址：_____________________</w:t>
      </w:r>
    </w:p>
    <w:p>
      <w:pPr>
        <w:pStyle w:val="null3"/>
      </w:pPr>
      <w:r>
        <w:rPr/>
        <w:t>投标人授权代表（签字或盖章）：_____________________</w:t>
      </w:r>
    </w:p>
    <w:p>
      <w:pPr>
        <w:pStyle w:val="null3"/>
      </w:pPr>
      <w:r>
        <w:rPr/>
        <w:t>电 话：_____________________</w:t>
      </w:r>
    </w:p>
    <w:p>
      <w:pPr>
        <w:pStyle w:val="null3"/>
      </w:pPr>
      <w:r>
        <w:rPr/>
        <w:t>传 真：_____________________</w:t>
      </w:r>
    </w:p>
    <w:p>
      <w:pPr>
        <w:pStyle w:val="null3"/>
      </w:pPr>
      <w:r>
        <w:rPr/>
        <w:t>承诺日期：_____________________</w:t>
      </w:r>
    </w:p>
    <w:p>
      <w:pPr>
        <w:pStyle w:val="null3"/>
        <w:ind w:firstLine="480"/>
      </w:pPr>
      <w:r>
        <w:rPr/>
        <w:t xml:space="preserve">  </w:t>
      </w:r>
    </w:p>
    <w:p>
      <w:pPr>
        <w:pStyle w:val="null3"/>
        <w:outlineLvl w:val="2"/>
      </w:pPr>
      <w:r>
        <w:rPr>
          <w:sz w:val="28"/>
          <w:b/>
        </w:rPr>
        <w:t>格式二十一：</w:t>
      </w:r>
    </w:p>
    <w:p>
      <w:pPr>
        <w:pStyle w:val="null3"/>
        <w:ind w:firstLine="480"/>
      </w:pPr>
      <w:r>
        <w:rPr/>
        <w:t>（以下格式文件由供应商根据需要选用）</w:t>
      </w:r>
    </w:p>
    <w:p>
      <w:pPr>
        <w:pStyle w:val="null3"/>
        <w:jc w:val="center"/>
        <w:outlineLvl w:val="3"/>
      </w:pPr>
      <w:r>
        <w:rPr>
          <w:sz w:val="24"/>
          <w:b/>
        </w:rPr>
        <w:t>需要采购人提供的附加条件</w:t>
      </w:r>
    </w:p>
    <w:tbl>
      <w:tblPr>
        <w:tblW w:w="0" w:type="auto"/>
        <w:tblBorders>
          <w:top w:val="single"/>
          <w:left w:val="single"/>
          <w:bottom w:val="single"/>
          <w:right w:val="single"/>
          <w:insideH w:val="single"/>
          <w:insideV w:val="single"/>
        </w:tblBorders>
      </w:tblPr>
      <w:tblGrid>
        <w:gridCol w:w="4153"/>
        <w:gridCol w:w="4153"/>
      </w:tblGrid>
      <w:tr>
        <w:tc>
          <w:tcPr>
            <w:tcW w:type="dxa" w:w="4153"/>
          </w:tcPr>
          <w:p>
            <w:pPr>
              <w:pStyle w:val="null3"/>
            </w:pPr>
            <w:r>
              <w:rPr/>
              <w:t>序号</w:t>
            </w:r>
          </w:p>
        </w:tc>
        <w:tc>
          <w:tcPr>
            <w:tcW w:type="dxa" w:w="4153"/>
          </w:tcPr>
          <w:p>
            <w:pPr>
              <w:pStyle w:val="null3"/>
            </w:pPr>
            <w:r>
              <w:rPr/>
              <w:t>投标人需要采购人提供的附加条件</w:t>
            </w:r>
          </w:p>
        </w:tc>
      </w:tr>
      <w:tr>
        <w:tc>
          <w:tcPr>
            <w:tcW w:type="dxa" w:w="4153"/>
          </w:tcPr>
          <w:p>
            <w:pPr>
              <w:pStyle w:val="null3"/>
            </w:pPr>
            <w:r>
              <w:rPr/>
              <w:t xml:space="preserve"> 1</w:t>
            </w:r>
          </w:p>
        </w:tc>
        <w:tc>
          <w:tcPr>
            <w:tcW w:type="dxa" w:w="4153"/>
          </w:tcPr>
          <w:p/>
        </w:tc>
      </w:tr>
      <w:tr>
        <w:tc>
          <w:tcPr>
            <w:tcW w:type="dxa" w:w="4153"/>
          </w:tcPr>
          <w:p>
            <w:pPr>
              <w:pStyle w:val="null3"/>
            </w:pPr>
            <w:r>
              <w:rPr/>
              <w:t xml:space="preserve"> 2</w:t>
            </w:r>
          </w:p>
        </w:tc>
        <w:tc>
          <w:tcPr>
            <w:tcW w:type="dxa" w:w="4153"/>
          </w:tcPr>
          <w:p/>
        </w:tc>
      </w:tr>
      <w:tr>
        <w:tc>
          <w:tcPr>
            <w:tcW w:type="dxa" w:w="4153"/>
          </w:tcPr>
          <w:p>
            <w:pPr>
              <w:pStyle w:val="null3"/>
            </w:pPr>
            <w:r>
              <w:rPr/>
              <w:t xml:space="preserve"> 3</w:t>
            </w:r>
          </w:p>
        </w:tc>
        <w:tc>
          <w:tcPr>
            <w:tcW w:type="dxa" w:w="4153"/>
          </w:tcPr>
          <w:p/>
        </w:tc>
      </w:tr>
    </w:tbl>
    <w:p>
      <w:pPr>
        <w:pStyle w:val="null3"/>
        <w:ind w:firstLine="480"/>
      </w:pPr>
      <w:r>
        <w:rPr/>
        <w:t>注：投标人完成本项目需要采购人配合或提供的条件必须在上表列出，否则将视为投标人同意按现有条件完成本项目。如上表所列附加条件含有采购人不能接受的，将被视为投标无效。</w:t>
      </w:r>
    </w:p>
    <w:p>
      <w:pPr>
        <w:pStyle w:val="null3"/>
        <w:ind w:firstLine="480"/>
      </w:pPr>
      <w:r>
        <w:rPr/>
        <w:t xml:space="preserve">  </w:t>
      </w:r>
    </w:p>
    <w:p>
      <w:pPr>
        <w:pStyle w:val="null3"/>
        <w:outlineLvl w:val="2"/>
      </w:pPr>
      <w:r>
        <w:rPr>
          <w:sz w:val="28"/>
          <w:b/>
        </w:rPr>
        <w:t>格式二十二：</w:t>
      </w:r>
    </w:p>
    <w:p>
      <w:pPr>
        <w:pStyle w:val="null3"/>
        <w:ind w:firstLine="480"/>
      </w:pPr>
      <w:r>
        <w:rPr/>
        <w:t>（以下格式文件由供应商根据需要选用）</w:t>
      </w:r>
    </w:p>
    <w:p>
      <w:pPr>
        <w:pStyle w:val="null3"/>
        <w:jc w:val="center"/>
        <w:outlineLvl w:val="3"/>
      </w:pPr>
      <w:r>
        <w:rPr>
          <w:sz w:val="24"/>
          <w:b/>
        </w:rPr>
        <w:t>询问函、质疑函、投诉书格式</w:t>
      </w:r>
    </w:p>
    <w:p>
      <w:pPr>
        <w:pStyle w:val="null3"/>
        <w:ind w:firstLine="480"/>
      </w:pPr>
      <w:r>
        <w:rPr/>
        <w:t>说明：本部分格式为投标人提交询问函、质疑函、投诉函时使用，不属于投标文件格式的组成部分。</w:t>
      </w:r>
    </w:p>
    <w:p>
      <w:pPr>
        <w:pStyle w:val="null3"/>
        <w:jc w:val="center"/>
        <w:outlineLvl w:val="3"/>
      </w:pPr>
      <w:r>
        <w:rPr>
          <w:sz w:val="24"/>
          <w:b/>
        </w:rPr>
        <w:t>询问函</w:t>
      </w:r>
    </w:p>
    <w:p>
      <w:pPr>
        <w:pStyle w:val="null3"/>
        <w:ind w:firstLine="480"/>
      </w:pPr>
      <w:r>
        <w:rPr/>
        <w:t>广东有德招标采购有限公司</w:t>
      </w:r>
    </w:p>
    <w:p>
      <w:pPr>
        <w:pStyle w:val="null3"/>
        <w:ind w:firstLine="480"/>
      </w:pPr>
      <w:r>
        <w:rPr/>
        <w:t>我单位已登记并准备参与“</w:t>
      </w:r>
      <w:r>
        <w:rPr/>
        <w:t>广东交通职业技术学院智慧校园综合服务平台三期建设项目</w:t>
      </w:r>
      <w:r>
        <w:rPr/>
        <w:t>”项目（采购项目编号：</w:t>
      </w:r>
      <w:r>
        <w:rPr/>
        <w:t>1210-2541YDZB9562</w:t>
      </w:r>
      <w:r>
        <w:rPr/>
        <w:t xml:space="preserve"> ）的投标活动，现有以下几个内容（或条款）存在疑问（或无法理解），特提出询问。</w:t>
      </w:r>
    </w:p>
    <w:p>
      <w:pPr>
        <w:pStyle w:val="null3"/>
        <w:ind w:firstLine="480"/>
      </w:pPr>
      <w:r>
        <w:rPr/>
        <w:t>一、_____________________（事项一）</w:t>
      </w:r>
    </w:p>
    <w:p>
      <w:pPr>
        <w:pStyle w:val="null3"/>
        <w:ind w:firstLine="480"/>
      </w:pPr>
      <w:r>
        <w:rPr/>
        <w:t>（1）____________________（问题或条款内容）</w:t>
      </w:r>
    </w:p>
    <w:p>
      <w:pPr>
        <w:pStyle w:val="null3"/>
        <w:ind w:firstLine="480"/>
      </w:pPr>
      <w:r>
        <w:rPr/>
        <w:t>（2）____________________（说明疑问或无法理解原因）</w:t>
      </w:r>
    </w:p>
    <w:p>
      <w:pPr>
        <w:pStyle w:val="null3"/>
        <w:ind w:firstLine="480"/>
      </w:pPr>
      <w:r>
        <w:rPr/>
        <w:t>（3）____________________（建议）</w:t>
      </w:r>
    </w:p>
    <w:p>
      <w:pPr>
        <w:pStyle w:val="null3"/>
        <w:ind w:firstLine="480"/>
      </w:pPr>
      <w:r>
        <w:rPr/>
        <w:t>二、_____________________（事项二）</w:t>
      </w:r>
    </w:p>
    <w:p>
      <w:pPr>
        <w:pStyle w:val="null3"/>
        <w:ind w:firstLine="480"/>
      </w:pPr>
      <w:r>
        <w:rPr/>
        <w:t>...</w:t>
      </w:r>
    </w:p>
    <w:p>
      <w:pPr>
        <w:pStyle w:val="null3"/>
        <w:ind w:firstLine="480"/>
      </w:pPr>
      <w:r>
        <w:rPr/>
        <w:t>随附相关证明材料如下：（目录）</w:t>
      </w:r>
    </w:p>
    <w:p>
      <w:pPr>
        <w:pStyle w:val="null3"/>
      </w:pPr>
      <w:r>
        <w:rPr/>
        <w:t>询问人（公章）：_____________________</w:t>
      </w:r>
    </w:p>
    <w:p>
      <w:pPr>
        <w:pStyle w:val="null3"/>
      </w:pPr>
      <w:r>
        <w:rPr/>
        <w:t>法定代表人或授权代表（签字或盖章）：_____________________</w:t>
      </w:r>
    </w:p>
    <w:p>
      <w:pPr>
        <w:pStyle w:val="null3"/>
      </w:pPr>
      <w:r>
        <w:rPr/>
        <w:t>地址/邮编：_____________________</w:t>
      </w:r>
    </w:p>
    <w:p>
      <w:pPr>
        <w:pStyle w:val="null3"/>
      </w:pPr>
      <w:r>
        <w:rPr/>
        <w:t>电话/传真：_____________________</w:t>
      </w:r>
    </w:p>
    <w:p>
      <w:pPr>
        <w:pStyle w:val="null3"/>
      </w:pPr>
      <w:r>
        <w:rPr/>
        <w:t xml:space="preserve"> 日期： 年 月 日</w:t>
      </w:r>
    </w:p>
    <w:p>
      <w:pPr>
        <w:pStyle w:val="null3"/>
        <w:ind w:firstLine="480"/>
      </w:pPr>
      <w:r>
        <w:rPr/>
        <w:t xml:space="preserve">  </w:t>
      </w:r>
    </w:p>
    <w:p>
      <w:pPr>
        <w:pStyle w:val="null3"/>
        <w:jc w:val="center"/>
        <w:outlineLvl w:val="3"/>
      </w:pPr>
      <w:r>
        <w:rPr>
          <w:sz w:val="24"/>
          <w:b/>
        </w:rPr>
        <w:t>质疑函</w:t>
      </w:r>
    </w:p>
    <w:p>
      <w:pPr>
        <w:pStyle w:val="null3"/>
        <w:ind w:firstLine="480"/>
      </w:pPr>
      <w:r>
        <w:rPr/>
        <w:t>一、质疑供应商基本信息</w:t>
      </w:r>
    </w:p>
    <w:p>
      <w:pPr>
        <w:pStyle w:val="null3"/>
        <w:ind w:firstLine="480"/>
      </w:pPr>
      <w:r>
        <w:rPr/>
        <w:t>质疑供应商：</w:t>
      </w:r>
    </w:p>
    <w:p>
      <w:pPr>
        <w:pStyle w:val="null3"/>
        <w:ind w:firstLine="480"/>
      </w:pPr>
      <w:r>
        <w:rPr/>
        <w:t>地址：_____________________邮编：_____________________</w:t>
      </w:r>
    </w:p>
    <w:p>
      <w:pPr>
        <w:pStyle w:val="null3"/>
        <w:ind w:firstLine="480"/>
      </w:pPr>
      <w:r>
        <w:rPr/>
        <w:t>联系：_____________________联系电话：_____________________</w:t>
      </w:r>
    </w:p>
    <w:p>
      <w:pPr>
        <w:pStyle w:val="null3"/>
        <w:ind w:firstLine="480"/>
      </w:pPr>
      <w:r>
        <w:rPr/>
        <w:t>授权代表：_____________________</w:t>
      </w:r>
    </w:p>
    <w:p>
      <w:pPr>
        <w:pStyle w:val="null3"/>
        <w:ind w:firstLine="480"/>
      </w:pPr>
      <w:r>
        <w:rPr/>
        <w:t>联系电话：_____________________</w:t>
      </w:r>
    </w:p>
    <w:p>
      <w:pPr>
        <w:pStyle w:val="null3"/>
        <w:ind w:firstLine="480"/>
      </w:pPr>
      <w:r>
        <w:rPr/>
        <w:t>地址：_____________________邮编：_____________________</w:t>
      </w:r>
    </w:p>
    <w:p>
      <w:pPr>
        <w:pStyle w:val="null3"/>
        <w:ind w:firstLine="480"/>
      </w:pPr>
      <w:r>
        <w:rPr/>
        <w:t>二、质疑项目基本情况</w:t>
      </w:r>
    </w:p>
    <w:p>
      <w:pPr>
        <w:pStyle w:val="null3"/>
        <w:ind w:firstLine="480"/>
      </w:pPr>
      <w:r>
        <w:rPr/>
        <w:t>质疑项目的名称：_____________________</w:t>
      </w:r>
    </w:p>
    <w:p>
      <w:pPr>
        <w:pStyle w:val="null3"/>
        <w:ind w:firstLine="480"/>
      </w:pPr>
      <w:r>
        <w:rPr/>
        <w:t>质疑项目的编号：_____________________ 包号：_____________________</w:t>
      </w:r>
    </w:p>
    <w:p>
      <w:pPr>
        <w:pStyle w:val="null3"/>
        <w:ind w:firstLine="480"/>
      </w:pPr>
      <w:r>
        <w:rPr/>
        <w:t>采购人名称：_____________________</w:t>
      </w:r>
    </w:p>
    <w:p>
      <w:pPr>
        <w:pStyle w:val="null3"/>
        <w:ind w:firstLine="480"/>
      </w:pPr>
      <w:r>
        <w:rPr/>
        <w:t>采购文件获取日期：_____________________</w:t>
      </w:r>
    </w:p>
    <w:p>
      <w:pPr>
        <w:pStyle w:val="null3"/>
        <w:ind w:firstLine="480"/>
      </w:pPr>
      <w:r>
        <w:rPr/>
        <w:t>三、质疑事项具体内容</w:t>
      </w:r>
    </w:p>
    <w:p>
      <w:pPr>
        <w:pStyle w:val="null3"/>
        <w:ind w:firstLine="480"/>
      </w:pPr>
      <w:r>
        <w:rPr/>
        <w:t>质疑事项1：_____________________</w:t>
      </w:r>
    </w:p>
    <w:p>
      <w:pPr>
        <w:pStyle w:val="null3"/>
        <w:ind w:firstLine="480"/>
      </w:pPr>
      <w:r>
        <w:rPr/>
        <w:t>事实依据：_____________________</w:t>
      </w:r>
    </w:p>
    <w:p>
      <w:pPr>
        <w:pStyle w:val="null3"/>
        <w:ind w:firstLine="480"/>
      </w:pPr>
      <w:r>
        <w:rPr/>
        <w:t>法律依据：_____________________</w:t>
      </w:r>
    </w:p>
    <w:p>
      <w:pPr>
        <w:pStyle w:val="null3"/>
        <w:ind w:firstLine="480"/>
      </w:pPr>
      <w:r>
        <w:rPr/>
        <w:t>质疑事项2：_____________________</w:t>
      </w:r>
    </w:p>
    <w:p>
      <w:pPr>
        <w:pStyle w:val="null3"/>
        <w:ind w:firstLine="480"/>
      </w:pPr>
      <w:r>
        <w:rPr/>
        <w:t>……</w:t>
      </w:r>
    </w:p>
    <w:p>
      <w:pPr>
        <w:pStyle w:val="null3"/>
        <w:ind w:firstLine="480"/>
      </w:pPr>
      <w:r>
        <w:rPr/>
        <w:t>四、与质疑事项相关的质疑请求</w:t>
      </w:r>
    </w:p>
    <w:p>
      <w:pPr>
        <w:pStyle w:val="null3"/>
        <w:ind w:firstLine="480"/>
      </w:pPr>
      <w:r>
        <w:rPr/>
        <w:t>请求：__________________________________________</w:t>
      </w:r>
    </w:p>
    <w:p>
      <w:pPr>
        <w:pStyle w:val="null3"/>
      </w:pPr>
      <w:r>
        <w:rPr/>
        <w:t xml:space="preserve"> 签字(签章)：_____________________ 公章：_____________________</w:t>
      </w:r>
    </w:p>
    <w:p>
      <w:pPr>
        <w:pStyle w:val="null3"/>
      </w:pPr>
      <w:r>
        <w:rPr/>
        <w:t xml:space="preserve"> 日期： 年 月 日</w:t>
      </w:r>
    </w:p>
    <w:p>
      <w:pPr>
        <w:pStyle w:val="null3"/>
        <w:ind w:firstLine="480"/>
      </w:pPr>
      <w:r>
        <w:rPr/>
        <w:t>质疑函制作说明：</w:t>
      </w:r>
    </w:p>
    <w:p>
      <w:pPr>
        <w:pStyle w:val="null3"/>
        <w:ind w:firstLine="480"/>
      </w:pPr>
      <w:r>
        <w:rPr/>
        <w:t>1.供应商提出质疑时，应提交质疑函和必要的证明材料。</w:t>
      </w:r>
    </w:p>
    <w:p>
      <w:pPr>
        <w:pStyle w:val="null3"/>
        <w:ind w:firstLine="480"/>
      </w:pPr>
      <w:r>
        <w:rPr/>
        <w:t xml:space="preserve"> 2.质疑供应商若委托代理人进行质疑的，质疑函应按要求列明“授权代表”的有关内容，并在附件中提交由质疑供应商签署的授权委托书。授权委托书应载明代理人的姓名或者名称、代理事项、具体权限、期限和相关事项。</w:t>
      </w:r>
    </w:p>
    <w:p>
      <w:pPr>
        <w:pStyle w:val="null3"/>
        <w:ind w:firstLine="480"/>
      </w:pPr>
      <w:r>
        <w:rPr/>
        <w:t>3.质疑供应商若对项目的某一分包进行质疑，质疑函中应列明具体采购包号。</w:t>
      </w:r>
    </w:p>
    <w:p>
      <w:pPr>
        <w:pStyle w:val="null3"/>
        <w:ind w:firstLine="480"/>
      </w:pPr>
      <w:r>
        <w:rPr/>
        <w:t>4.质疑函的质疑事项应具体、明确，并有必要的事实依据和法律依据。</w:t>
      </w:r>
    </w:p>
    <w:p>
      <w:pPr>
        <w:pStyle w:val="null3"/>
        <w:ind w:firstLine="480"/>
      </w:pPr>
      <w:r>
        <w:rPr/>
        <w:t>5.质疑函的质疑请求应与质疑事项相关。</w:t>
      </w:r>
    </w:p>
    <w:p>
      <w:pPr>
        <w:pStyle w:val="null3"/>
        <w:ind w:firstLine="480"/>
      </w:pPr>
      <w:r>
        <w:rPr/>
        <w:t>6.质疑供应商为自然人的，质疑函应由本人签字；质疑供应商为法人或者其他组织的，质疑函应由法定代表人、主要负责人，或者其授权代表签字或者盖章，并加盖公章。</w:t>
      </w:r>
    </w:p>
    <w:p>
      <w:pPr>
        <w:pStyle w:val="null3"/>
        <w:ind w:firstLine="480"/>
      </w:pPr>
      <w:r>
        <w:rPr/>
        <w:t xml:space="preserve">  </w:t>
      </w:r>
    </w:p>
    <w:p>
      <w:pPr>
        <w:pStyle w:val="null3"/>
        <w:jc w:val="center"/>
        <w:outlineLvl w:val="3"/>
      </w:pPr>
      <w:r>
        <w:rPr>
          <w:sz w:val="24"/>
          <w:b/>
        </w:rPr>
        <w:t>投诉书</w:t>
      </w:r>
    </w:p>
    <w:p>
      <w:pPr>
        <w:pStyle w:val="null3"/>
        <w:ind w:firstLine="480"/>
      </w:pPr>
      <w:r>
        <w:rPr/>
        <w:t xml:space="preserve"> 一、投诉相关主体基本情况</w:t>
      </w:r>
    </w:p>
    <w:p>
      <w:pPr>
        <w:pStyle w:val="null3"/>
        <w:ind w:firstLine="480"/>
      </w:pPr>
      <w:r>
        <w:rPr/>
        <w:t xml:space="preserve"> 投诉人：____________________</w:t>
      </w:r>
    </w:p>
    <w:p>
      <w:pPr>
        <w:pStyle w:val="null3"/>
        <w:ind w:firstLine="480"/>
      </w:pPr>
      <w:r>
        <w:rPr/>
        <w:t xml:space="preserve"> 地 址：____________________邮编：____________________</w:t>
      </w:r>
    </w:p>
    <w:p>
      <w:pPr>
        <w:pStyle w:val="null3"/>
        <w:ind w:firstLine="480"/>
      </w:pPr>
      <w:r>
        <w:rPr/>
        <w:t xml:space="preserve"> 法定代表人/主要负责人：____________________</w:t>
      </w:r>
    </w:p>
    <w:p>
      <w:pPr>
        <w:pStyle w:val="null3"/>
        <w:ind w:firstLine="480"/>
      </w:pPr>
      <w:r>
        <w:rPr/>
        <w:t xml:space="preserve"> 联系电话：____________________</w:t>
      </w:r>
    </w:p>
    <w:p>
      <w:pPr>
        <w:pStyle w:val="null3"/>
        <w:ind w:firstLine="480"/>
      </w:pPr>
      <w:r>
        <w:rPr/>
        <w:t xml:space="preserve"> 授权代表：____________________联系电话：____________________</w:t>
      </w:r>
    </w:p>
    <w:p>
      <w:pPr>
        <w:pStyle w:val="null3"/>
        <w:ind w:firstLine="480"/>
      </w:pPr>
      <w:r>
        <w:rPr/>
        <w:t xml:space="preserve"> 地 址：____________________邮编：____________________</w:t>
      </w:r>
    </w:p>
    <w:p>
      <w:pPr>
        <w:pStyle w:val="null3"/>
        <w:ind w:firstLine="480"/>
      </w:pPr>
      <w:r>
        <w:rPr/>
        <w:t xml:space="preserve"> 被投诉人1：____________________</w:t>
      </w:r>
    </w:p>
    <w:p>
      <w:pPr>
        <w:pStyle w:val="null3"/>
        <w:ind w:firstLine="480"/>
      </w:pPr>
      <w:r>
        <w:rPr/>
        <w:t xml:space="preserve"> 地址：____________________邮编：____________________</w:t>
      </w:r>
    </w:p>
    <w:p>
      <w:pPr>
        <w:pStyle w:val="null3"/>
        <w:ind w:firstLine="480"/>
      </w:pPr>
      <w:r>
        <w:rPr/>
        <w:t xml:space="preserve"> 联系人：____________________联系电话：____________________</w:t>
      </w:r>
    </w:p>
    <w:p>
      <w:pPr>
        <w:pStyle w:val="null3"/>
        <w:ind w:firstLine="480"/>
      </w:pPr>
      <w:r>
        <w:rPr/>
        <w:t xml:space="preserve"> 被投诉人2：____________________</w:t>
      </w:r>
    </w:p>
    <w:p>
      <w:pPr>
        <w:pStyle w:val="null3"/>
        <w:ind w:firstLine="480"/>
      </w:pPr>
      <w:r>
        <w:rPr/>
        <w:t xml:space="preserve"> ……</w:t>
      </w:r>
    </w:p>
    <w:p>
      <w:pPr>
        <w:pStyle w:val="null3"/>
        <w:ind w:firstLine="480"/>
      </w:pPr>
      <w:r>
        <w:rPr/>
        <w:t xml:space="preserve"> 相关供应商：_____________________</w:t>
      </w:r>
    </w:p>
    <w:p>
      <w:pPr>
        <w:pStyle w:val="null3"/>
        <w:ind w:firstLine="480"/>
      </w:pPr>
      <w:r>
        <w:rPr/>
        <w:t xml:space="preserve"> 地址：____________________邮编：____________________</w:t>
      </w:r>
    </w:p>
    <w:p>
      <w:pPr>
        <w:pStyle w:val="null3"/>
        <w:ind w:firstLine="480"/>
      </w:pPr>
      <w:r>
        <w:rPr/>
        <w:t xml:space="preserve"> 联系人：____________________联系电话：____________________</w:t>
      </w:r>
    </w:p>
    <w:p>
      <w:pPr>
        <w:pStyle w:val="null3"/>
        <w:ind w:firstLine="480"/>
      </w:pPr>
      <w:r>
        <w:rPr/>
        <w:t xml:space="preserve"> 二、投诉项目基本情况</w:t>
      </w:r>
    </w:p>
    <w:p>
      <w:pPr>
        <w:pStyle w:val="null3"/>
        <w:ind w:firstLine="480"/>
      </w:pPr>
      <w:r>
        <w:rPr/>
        <w:t xml:space="preserve"> 采购项目名称：____________________</w:t>
      </w:r>
    </w:p>
    <w:p>
      <w:pPr>
        <w:pStyle w:val="null3"/>
        <w:ind w:firstLine="480"/>
      </w:pPr>
      <w:r>
        <w:rPr/>
        <w:t xml:space="preserve"> 采购项目编号： ____________________包号：____________________</w:t>
      </w:r>
    </w:p>
    <w:p>
      <w:pPr>
        <w:pStyle w:val="null3"/>
        <w:ind w:firstLine="480"/>
      </w:pPr>
      <w:r>
        <w:rPr/>
        <w:t xml:space="preserve"> 采购人名称：____________________</w:t>
      </w:r>
    </w:p>
    <w:p>
      <w:pPr>
        <w:pStyle w:val="null3"/>
        <w:ind w:firstLine="480"/>
      </w:pPr>
      <w:r>
        <w:rPr/>
        <w:t xml:space="preserve"> 代理机构名称：____________________</w:t>
      </w:r>
    </w:p>
    <w:p>
      <w:pPr>
        <w:pStyle w:val="null3"/>
        <w:ind w:firstLine="480"/>
      </w:pPr>
      <w:r>
        <w:rPr/>
        <w:t xml:space="preserve"> 采购文件公告:</w:t>
      </w:r>
      <w:r>
        <w:rPr>
          <w:u w:val="single"/>
        </w:rPr>
        <w:t>是/否</w:t>
      </w:r>
      <w:r>
        <w:rPr/>
        <w:t xml:space="preserve"> 公告期限：_____________________</w:t>
      </w:r>
    </w:p>
    <w:p>
      <w:pPr>
        <w:pStyle w:val="null3"/>
        <w:ind w:firstLine="480"/>
      </w:pPr>
      <w:r>
        <w:rPr/>
        <w:t xml:space="preserve"> 采购结果公告:</w:t>
      </w:r>
      <w:r>
        <w:rPr>
          <w:u w:val="single"/>
        </w:rPr>
        <w:t>是/否</w:t>
      </w:r>
      <w:r>
        <w:rPr/>
        <w:t xml:space="preserve"> 公告期限：_____________________</w:t>
      </w:r>
    </w:p>
    <w:p>
      <w:pPr>
        <w:pStyle w:val="null3"/>
        <w:ind w:firstLine="480"/>
      </w:pPr>
      <w:r>
        <w:rPr/>
        <w:t xml:space="preserve"> 三、质疑基本情况</w:t>
      </w:r>
    </w:p>
    <w:p>
      <w:pPr>
        <w:pStyle w:val="null3"/>
        <w:ind w:firstLine="480"/>
      </w:pPr>
      <w:r>
        <w:rPr/>
        <w:t xml:space="preserve"> 投诉人于 ____年____月____日,向提出质疑，质疑事项为：_____________________</w:t>
      </w:r>
    </w:p>
    <w:p>
      <w:pPr>
        <w:pStyle w:val="null3"/>
        <w:ind w:firstLine="480"/>
      </w:pPr>
      <w:r>
        <w:rPr>
          <w:u w:val="single"/>
        </w:rPr>
        <w:t>采购人/代理机构</w:t>
      </w:r>
      <w:r>
        <w:rPr/>
        <w:t>于____年____月____日,就质疑事项作出了答复/没有在法定期限内作出答复。</w:t>
      </w:r>
    </w:p>
    <w:p>
      <w:pPr>
        <w:pStyle w:val="null3"/>
        <w:ind w:firstLine="480"/>
      </w:pPr>
      <w:r>
        <w:rPr/>
        <w:t xml:space="preserve"> 四、投诉事项具体内容</w:t>
      </w:r>
    </w:p>
    <w:p>
      <w:pPr>
        <w:pStyle w:val="null3"/>
        <w:ind w:firstLine="480"/>
      </w:pPr>
      <w:r>
        <w:rPr/>
        <w:t xml:space="preserve"> 投诉事项 1：_____________________</w:t>
      </w:r>
    </w:p>
    <w:p>
      <w:pPr>
        <w:pStyle w:val="null3"/>
        <w:ind w:firstLine="480"/>
      </w:pPr>
      <w:r>
        <w:rPr/>
        <w:t xml:space="preserve"> 事实依据：_____________________</w:t>
      </w:r>
    </w:p>
    <w:p>
      <w:pPr>
        <w:pStyle w:val="null3"/>
        <w:ind w:firstLine="480"/>
      </w:pPr>
      <w:r>
        <w:rPr/>
        <w:t xml:space="preserve"> 法律依据：_____________________</w:t>
      </w:r>
    </w:p>
    <w:p>
      <w:pPr>
        <w:pStyle w:val="null3"/>
        <w:ind w:firstLine="480"/>
      </w:pPr>
      <w:r>
        <w:rPr/>
        <w:t xml:space="preserve"> 投诉事项2：_____________________</w:t>
      </w:r>
    </w:p>
    <w:p>
      <w:pPr>
        <w:pStyle w:val="null3"/>
        <w:ind w:firstLine="480"/>
      </w:pPr>
      <w:r>
        <w:rPr/>
        <w:t xml:space="preserve"> ……</w:t>
      </w:r>
    </w:p>
    <w:p>
      <w:pPr>
        <w:pStyle w:val="null3"/>
        <w:ind w:firstLine="480"/>
      </w:pPr>
      <w:r>
        <w:rPr/>
        <w:t xml:space="preserve"> 五、与投诉事项相关的投诉请求</w:t>
      </w:r>
    </w:p>
    <w:p>
      <w:pPr>
        <w:pStyle w:val="null3"/>
        <w:ind w:firstLine="480"/>
      </w:pPr>
      <w:r>
        <w:rPr/>
        <w:t xml:space="preserve"> 请求：________________________</w:t>
      </w:r>
    </w:p>
    <w:p>
      <w:pPr>
        <w:pStyle w:val="null3"/>
        <w:ind w:firstLine="480"/>
      </w:pPr>
      <w:r>
        <w:rPr/>
        <w:t xml:space="preserve"> 签字(签章)： ________公章________</w:t>
      </w:r>
    </w:p>
    <w:p>
      <w:pPr>
        <w:pStyle w:val="null3"/>
      </w:pPr>
      <w:r>
        <w:rPr/>
        <w:t xml:space="preserve"> 日期：____年____月____日</w:t>
      </w:r>
    </w:p>
    <w:p>
      <w:pPr>
        <w:pStyle w:val="null3"/>
        <w:ind w:firstLine="480"/>
      </w:pPr>
      <w:r>
        <w:rPr/>
        <w:t xml:space="preserve"> 投诉书制作说明：</w:t>
      </w:r>
    </w:p>
    <w:p>
      <w:pPr>
        <w:pStyle w:val="null3"/>
        <w:ind w:firstLine="480"/>
      </w:pPr>
      <w:r>
        <w:rPr/>
        <w:t xml:space="preserve"> 1.投诉人提起投诉时，应当提交投诉书和必要的证明材料，并按照被投诉人和与投诉事项有关的供应商数量提供投诉书副本。</w:t>
      </w:r>
    </w:p>
    <w:p>
      <w:pPr>
        <w:pStyle w:val="null3"/>
        <w:ind w:firstLine="480"/>
      </w:pPr>
      <w:r>
        <w:rPr/>
        <w:t xml:space="preserve"> 2.投诉人若委托代理人进行投诉的，投诉书应按照要求列明“授权代表”的有关内容，并在附件中提交由投诉人签署的授权委托书。授权委托书应当载明代理人的姓名或者名称、代理事项、具体权限、期限和相关事项。</w:t>
      </w:r>
    </w:p>
    <w:p>
      <w:pPr>
        <w:pStyle w:val="null3"/>
        <w:ind w:firstLine="480"/>
      </w:pPr>
      <w:r>
        <w:rPr/>
        <w:t xml:space="preserve"> 3.投诉人若对项目的某一分包进行投诉，投诉书应列明具体分包号。</w:t>
      </w:r>
    </w:p>
    <w:p>
      <w:pPr>
        <w:pStyle w:val="null3"/>
        <w:ind w:firstLine="480"/>
      </w:pPr>
      <w:r>
        <w:rPr/>
        <w:t xml:space="preserve"> 4.投诉书应简要列明质疑事项，质疑函、质疑答复等作为附件材料提供。</w:t>
      </w:r>
    </w:p>
    <w:p>
      <w:pPr>
        <w:pStyle w:val="null3"/>
        <w:ind w:firstLine="480"/>
      </w:pPr>
      <w:r>
        <w:rPr/>
        <w:t xml:space="preserve"> 5.投诉书的投诉事项应具体、明确，并有必要的事实依据和法律依据。</w:t>
      </w:r>
    </w:p>
    <w:p>
      <w:pPr>
        <w:pStyle w:val="null3"/>
        <w:ind w:firstLine="480"/>
      </w:pPr>
      <w:r>
        <w:rPr/>
        <w:t xml:space="preserve"> 6.投诉书的投诉请求应与投诉事项相关。</w:t>
      </w:r>
    </w:p>
    <w:p>
      <w:pPr>
        <w:pStyle w:val="null3"/>
        <w:ind w:firstLine="480"/>
      </w:pPr>
      <w:r>
        <w:rPr/>
        <w:t xml:space="preserve"> 7.投诉人为自然人的，投诉书应当由本人签字；投诉人为法人或者其他组织的，投诉书应当由法定代表人、主要负责人，或者其授权代表签字或者盖章，并加盖公章。</w:t>
      </w:r>
    </w:p>
    <w:p>
      <w:pPr>
        <w:pStyle w:val="null3"/>
        <w:ind w:firstLine="480"/>
      </w:pPr>
      <w:r>
        <w:rPr/>
        <w:t xml:space="preserve">  </w:t>
      </w:r>
    </w:p>
    <w:p>
      <w:pPr>
        <w:pStyle w:val="null3"/>
        <w:outlineLvl w:val="2"/>
      </w:pPr>
      <w:r>
        <w:rPr>
          <w:sz w:val="28"/>
          <w:b/>
        </w:rPr>
        <w:t>格式二十三：</w:t>
      </w:r>
    </w:p>
    <w:p>
      <w:pPr>
        <w:pStyle w:val="null3"/>
        <w:ind w:firstLine="480"/>
      </w:pPr>
      <w:r>
        <w:rPr/>
        <w:t>（以下格式文件由供应商根据需要选用）</w:t>
      </w:r>
    </w:p>
    <w:p>
      <w:pPr>
        <w:pStyle w:val="null3"/>
        <w:ind w:firstLine="480"/>
      </w:pPr>
      <w:r>
        <w:rPr/>
        <w:t>项目实施方案、质量保证及售后服务承诺等内容和格式自拟。</w:t>
      </w:r>
    </w:p>
    <w:p>
      <w:pPr>
        <w:pStyle w:val="null3"/>
        <w:ind w:firstLine="480"/>
      </w:pPr>
      <w:r>
        <w:rPr/>
        <w:t xml:space="preserve">  </w:t>
      </w:r>
    </w:p>
    <w:p>
      <w:pPr>
        <w:pStyle w:val="null3"/>
        <w:outlineLvl w:val="2"/>
      </w:pPr>
      <w:r>
        <w:rPr>
          <w:sz w:val="28"/>
          <w:b/>
        </w:rPr>
        <w:t>格式二十四：</w:t>
      </w:r>
    </w:p>
    <w:p>
      <w:pPr>
        <w:pStyle w:val="null3"/>
        <w:ind w:firstLine="480"/>
      </w:pPr>
      <w:r>
        <w:rPr/>
        <w:t>附件（以下格式文件由供应商根据需要选用）</w:t>
      </w:r>
    </w:p>
    <w:p>
      <w:pPr>
        <w:pStyle w:val="null3"/>
        <w:jc w:val="center"/>
        <w:outlineLvl w:val="3"/>
      </w:pPr>
      <w:r>
        <w:rPr>
          <w:sz w:val="24"/>
          <w:b/>
        </w:rPr>
        <w:t>政府采购投标（响应）担保函</w:t>
      </w:r>
    </w:p>
    <w:p>
      <w:pPr>
        <w:pStyle w:val="null3"/>
      </w:pPr>
      <w:r>
        <w:rPr/>
        <w:t>编号：【 】号</w:t>
      </w:r>
    </w:p>
    <w:p>
      <w:pPr>
        <w:pStyle w:val="null3"/>
        <w:ind w:firstLine="480"/>
      </w:pPr>
      <w:r>
        <w:rPr/>
        <w:t>（采购人）：</w:t>
      </w:r>
    </w:p>
    <w:p>
      <w:pPr>
        <w:pStyle w:val="null3"/>
        <w:ind w:firstLine="480"/>
      </w:pPr>
      <w:r>
        <w:rPr/>
        <w:t xml:space="preserve"> 鉴于__________（以下简称“投标（响应）人”）拟参加编号为__________的（以下简称“本项目”）投标（响应），根据本项目采购文件，投标（响应）人参加投标（响应）时应向你方交纳投标（响应）保证金，且可以投标保险凭证的形式交纳投标（响应）保证金。应投标（响应）人的申请，我方以保险的方式向你方提供如下投标保证保险凭证：</w:t>
      </w:r>
    </w:p>
    <w:p>
      <w:pPr>
        <w:pStyle w:val="null3"/>
        <w:ind w:firstLine="480"/>
      </w:pPr>
      <w:r>
        <w:rPr/>
        <w:t>一、保险责任的情形及保证金额</w:t>
      </w:r>
    </w:p>
    <w:p>
      <w:pPr>
        <w:pStyle w:val="null3"/>
        <w:ind w:firstLine="480"/>
      </w:pPr>
      <w:r>
        <w:rPr/>
        <w:t>（一）在投标（响应）人出现下列情形之一时，我方承担保险责任：</w:t>
      </w:r>
    </w:p>
    <w:p>
      <w:pPr>
        <w:pStyle w:val="null3"/>
        <w:ind w:firstLine="480"/>
      </w:pPr>
      <w:r>
        <w:rPr/>
        <w:t>1.中标（成交）后投标（响应）人无正当理由不与采购人签订《政府采购合同》；</w:t>
      </w:r>
    </w:p>
    <w:p>
      <w:pPr>
        <w:pStyle w:val="null3"/>
        <w:ind w:firstLine="480"/>
      </w:pPr>
      <w:r>
        <w:rPr/>
        <w:t>2.采购文件规定的投标（响应）人应当缴纳保证金的其他情形。</w:t>
      </w:r>
    </w:p>
    <w:p>
      <w:pPr>
        <w:pStyle w:val="null3"/>
        <w:ind w:firstLine="480"/>
      </w:pPr>
      <w:r>
        <w:rPr/>
        <w:t>（二）我方承担保险责任的最高金额为人民币__________元（大写）即本项目的投标（响应）保证金金额。</w:t>
      </w:r>
    </w:p>
    <w:p>
      <w:pPr>
        <w:pStyle w:val="null3"/>
        <w:ind w:firstLine="480"/>
      </w:pPr>
      <w:r>
        <w:rPr/>
        <w:t>二、保证的方式及保证期间</w:t>
      </w:r>
    </w:p>
    <w:p>
      <w:pPr>
        <w:pStyle w:val="null3"/>
        <w:ind w:firstLine="480"/>
      </w:pPr>
      <w:r>
        <w:rPr/>
        <w:t>我方保证的方式为：连带责任保证。</w:t>
      </w:r>
    </w:p>
    <w:p>
      <w:pPr>
        <w:pStyle w:val="null3"/>
        <w:ind w:firstLine="480"/>
      </w:pPr>
      <w:r>
        <w:rPr/>
        <w:t>我方的保证期间为：本保险凭证自__年__月__日起生效，有效期至开标日后的90天内。</w:t>
      </w:r>
    </w:p>
    <w:p>
      <w:pPr>
        <w:pStyle w:val="null3"/>
        <w:ind w:firstLine="480"/>
      </w:pPr>
      <w:r>
        <w:rPr/>
        <w:t>三、承担保证责任的程序</w:t>
      </w:r>
    </w:p>
    <w:p>
      <w:pPr>
        <w:pStyle w:val="null3"/>
        <w:ind w:firstLine="480"/>
      </w:pPr>
      <w:r>
        <w:rPr/>
        <w:t xml:space="preserve"> 1.你方要求我方承担保证责任的，应在本保函保证期间内向我方发出索赔通知。索赔通知应写明要求索赔的金额，支付款项应到达的账号、户名和开户行，并附有证明投标（响应）人发生我方应承担保证责任情形的事实材料。</w:t>
      </w:r>
    </w:p>
    <w:p>
      <w:pPr>
        <w:pStyle w:val="null3"/>
        <w:ind w:firstLine="480"/>
      </w:pPr>
      <w:r>
        <w:rPr/>
        <w:t>2.我方在收到索赔通知及相关证明材料后，在15个工作日内进行审查，符合应承担保证责任情形的，我方按照你方的要求代投标（响应）人向你方支付相应的索赔款项。</w:t>
      </w:r>
    </w:p>
    <w:p>
      <w:pPr>
        <w:pStyle w:val="null3"/>
        <w:ind w:firstLine="480"/>
      </w:pPr>
      <w:r>
        <w:rPr/>
        <w:t>四、保证责任的终止</w:t>
      </w:r>
    </w:p>
    <w:p>
      <w:pPr>
        <w:pStyle w:val="null3"/>
        <w:ind w:firstLine="480"/>
      </w:pPr>
      <w:r>
        <w:rPr/>
        <w:t>1.保证期间届满，你方未向我方书面主张保证责任的，自保证期间届满次日起，我方保证责任自动终止。</w:t>
      </w:r>
    </w:p>
    <w:p>
      <w:pPr>
        <w:pStyle w:val="null3"/>
        <w:ind w:firstLine="480"/>
      </w:pPr>
      <w:r>
        <w:rPr/>
        <w:t>2.我方按照本保函向你方履行了保证责任后，自我方向你方支付款项（支付款项从我方账户划出）之日起，保证责任终止。</w:t>
      </w:r>
    </w:p>
    <w:p>
      <w:pPr>
        <w:pStyle w:val="null3"/>
        <w:ind w:firstLine="480"/>
      </w:pPr>
      <w:r>
        <w:rPr/>
        <w:t>3.按照法律法规的规定或出现我方保证责任终止的其它情形的，我方在本保函项下的保证责任终止。</w:t>
      </w:r>
    </w:p>
    <w:p>
      <w:pPr>
        <w:pStyle w:val="null3"/>
        <w:ind w:firstLine="480"/>
      </w:pPr>
      <w:r>
        <w:rPr/>
        <w:t>五、免责条款</w:t>
      </w:r>
    </w:p>
    <w:p>
      <w:pPr>
        <w:pStyle w:val="null3"/>
        <w:ind w:firstLine="480"/>
      </w:pPr>
      <w:r>
        <w:rPr/>
        <w:t>1.依照法律规定或你方与投标（响应）人的另行约定，全部或者部分免除投标（响应）人投标（响应）保证金义务时，我方亦免除相应的保证责任。</w:t>
      </w:r>
    </w:p>
    <w:p>
      <w:pPr>
        <w:pStyle w:val="null3"/>
        <w:ind w:firstLine="480"/>
      </w:pPr>
      <w:r>
        <w:rPr/>
        <w:t>2.因你方原因致使投标（响应）人发生本保函第一条第（一）款约定情形的，我方不承担保证责任。</w:t>
      </w:r>
    </w:p>
    <w:p>
      <w:pPr>
        <w:pStyle w:val="null3"/>
        <w:ind w:firstLine="480"/>
      </w:pPr>
      <w:r>
        <w:rPr/>
        <w:t>3.因不可抗力造成投标（响应）人发生本保函第一条约定情形的，我方不承担保证责任。</w:t>
      </w:r>
    </w:p>
    <w:p>
      <w:pPr>
        <w:pStyle w:val="null3"/>
        <w:ind w:firstLine="480"/>
      </w:pPr>
      <w:r>
        <w:rPr/>
        <w:t>4.你方或其他有权机关对采购文件进行任何澄清或修改，加重我方保证责任的，我方对加重部分不承担保证责任，但该澄清或修改经我方事先书面同意的除外。</w:t>
      </w:r>
    </w:p>
    <w:p>
      <w:pPr>
        <w:pStyle w:val="null3"/>
        <w:ind w:firstLine="480"/>
      </w:pPr>
      <w:r>
        <w:rPr/>
        <w:t>六、争议的解决</w:t>
      </w:r>
    </w:p>
    <w:p>
      <w:pPr>
        <w:pStyle w:val="null3"/>
        <w:ind w:firstLine="480"/>
      </w:pPr>
      <w:r>
        <w:rPr/>
        <w:t>因本保函发生的纠纷，由你我双方协商解决，协商不成的，通过诉讼程序解决，诉讼管辖地法院为 法院。</w:t>
      </w:r>
    </w:p>
    <w:p>
      <w:pPr>
        <w:pStyle w:val="null3"/>
        <w:ind w:firstLine="480"/>
      </w:pPr>
      <w:r>
        <w:rPr/>
        <w:t>七、保函的生效</w:t>
      </w:r>
    </w:p>
    <w:p>
      <w:pPr>
        <w:pStyle w:val="null3"/>
        <w:ind w:firstLine="480"/>
      </w:pPr>
      <w:r>
        <w:rPr/>
        <w:t>本保函自我方加盖公章之日起生效。</w:t>
      </w:r>
    </w:p>
    <w:p>
      <w:pPr>
        <w:pStyle w:val="null3"/>
        <w:ind w:firstLine="480"/>
      </w:pPr>
      <w:r>
        <w:rPr/>
        <w:t>保证人：_______（公章）_______</w:t>
      </w:r>
    </w:p>
    <w:p>
      <w:pPr>
        <w:pStyle w:val="null3"/>
      </w:pPr>
      <w:r>
        <w:rPr/>
        <w:t>联系人：____________________</w:t>
      </w:r>
    </w:p>
    <w:p>
      <w:pPr>
        <w:pStyle w:val="null3"/>
      </w:pPr>
      <w:r>
        <w:rPr/>
        <w:t>联系电话：____________________</w:t>
      </w:r>
    </w:p>
    <w:p>
      <w:pPr>
        <w:pStyle w:val="null3"/>
      </w:pPr>
      <w:r>
        <w:rPr/>
        <w:t>___年___月___日</w:t>
      </w:r>
    </w:p>
    <w:p>
      <w:pPr>
        <w:pStyle w:val="null3"/>
        <w:ind w:firstLine="480"/>
      </w:pPr>
      <w:r>
        <w:rPr/>
        <w:t xml:space="preserve">  </w:t>
      </w:r>
    </w:p>
    <w:p>
      <w:pPr>
        <w:pStyle w:val="null3"/>
        <w:outlineLvl w:val="2"/>
      </w:pPr>
      <w:r>
        <w:rPr>
          <w:sz w:val="28"/>
          <w:b/>
        </w:rPr>
        <w:t>格式二十五：</w:t>
      </w:r>
    </w:p>
    <w:p>
      <w:pPr>
        <w:pStyle w:val="null3"/>
        <w:jc w:val="center"/>
        <w:outlineLvl w:val="3"/>
      </w:pPr>
      <w:r>
        <w:rPr>
          <w:sz w:val="24"/>
          <w:b/>
        </w:rPr>
        <w:t>政府采购履约担保函</w:t>
      </w:r>
    </w:p>
    <w:p>
      <w:pPr>
        <w:pStyle w:val="null3"/>
      </w:pPr>
      <w:r>
        <w:rPr/>
        <w:t>编号：</w:t>
      </w:r>
    </w:p>
    <w:p>
      <w:pPr>
        <w:pStyle w:val="null3"/>
        <w:ind w:firstLine="480"/>
      </w:pPr>
      <w:r>
        <w:rPr/>
        <w:t>（采购人）：</w:t>
      </w:r>
    </w:p>
    <w:p>
      <w:pPr>
        <w:pStyle w:val="null3"/>
        <w:ind w:firstLine="480"/>
      </w:pPr>
      <w:r>
        <w:rPr/>
        <w:t xml:space="preserve"> 鉴于贵方在__________项目（项目编号为__________以下简称“项目”）的采购中，确定__________为中标人/供应商，拟签订/已签订项目相关采购合同（以下简称“主合同”）。依据主合同的约定，供应商应向贵方交纳履约保证金，且可以履约担保函的形式交纳履约保证金。应供应商的申请，我方以保证的方式向贵方提供如下履约保证金担保：</w:t>
      </w:r>
    </w:p>
    <w:p>
      <w:pPr>
        <w:pStyle w:val="null3"/>
        <w:ind w:firstLine="480"/>
      </w:pPr>
      <w:r>
        <w:rPr/>
        <w:t>一、保证金额</w:t>
      </w:r>
    </w:p>
    <w:p>
      <w:pPr>
        <w:pStyle w:val="null3"/>
        <w:ind w:firstLine="480"/>
      </w:pPr>
      <w:r>
        <w:rPr/>
        <w:t>我方的保证范围是主合同约定的合同价款总额的___%，数额为__________（大写），币种为</w:t>
      </w:r>
      <w:r>
        <w:rPr>
          <w:u w:val="single"/>
        </w:rPr>
        <w:t>人民币</w:t>
      </w:r>
      <w:r>
        <w:rPr/>
        <w:t>（即主合同履约保证金金额）。</w:t>
      </w:r>
    </w:p>
    <w:p>
      <w:pPr>
        <w:pStyle w:val="null3"/>
        <w:ind w:firstLine="480"/>
      </w:pPr>
      <w:r>
        <w:rPr/>
        <w:t>二、我方保证的方式为：连带责任保证。</w:t>
      </w:r>
    </w:p>
    <w:p>
      <w:pPr>
        <w:pStyle w:val="null3"/>
        <w:ind w:firstLine="480"/>
      </w:pPr>
      <w:r>
        <w:rPr/>
        <w:t>三、我方保证的期间为：本保函自开立之日起生效，至 年 月 日止。</w:t>
      </w:r>
    </w:p>
    <w:p>
      <w:pPr>
        <w:pStyle w:val="null3"/>
        <w:ind w:firstLine="480"/>
      </w:pPr>
      <w:r>
        <w:rPr/>
        <w:t>四、在本保函的有效期内，如被保证人违反上述合同或协议约定的义务，我方将在收到你方提交的本保函文件及符合下列全部条件的索赔通知后</w:t>
      </w:r>
      <w:r>
        <w:rPr>
          <w:u w:val="single"/>
        </w:rPr>
        <w:t xml:space="preserve"> 30 </w:t>
      </w:r>
      <w:r>
        <w:rPr/>
        <w:t>个工作日内以上述保证金额为限支付你方索赔金额:</w:t>
      </w:r>
    </w:p>
    <w:p>
      <w:pPr>
        <w:pStyle w:val="null3"/>
        <w:ind w:firstLine="480"/>
      </w:pPr>
      <w:r>
        <w:rPr/>
        <w:t>(一)索赔通知文件必须以书面形式提出，列明索赔金额，并由你方法定代表人(负责人)或授权代理人签字并加盖公章;</w:t>
      </w:r>
    </w:p>
    <w:p>
      <w:pPr>
        <w:pStyle w:val="null3"/>
        <w:ind w:firstLine="480"/>
      </w:pPr>
      <w:r>
        <w:rPr/>
        <w:t>(二)索赔通知文件必须同时附有:</w:t>
      </w:r>
    </w:p>
    <w:p>
      <w:pPr>
        <w:pStyle w:val="null3"/>
        <w:ind w:firstLine="480"/>
      </w:pPr>
      <w:r>
        <w:rPr/>
        <w:t>1.一项书面声明，声明索赔款项并未由被保证人或其代理人直接或间接地支付给你方;</w:t>
      </w:r>
    </w:p>
    <w:p>
      <w:pPr>
        <w:pStyle w:val="null3"/>
        <w:ind w:firstLine="480"/>
      </w:pPr>
      <w:r>
        <w:rPr/>
        <w:t>2.证明被保证人违反上述合同或协议约定的义务以及有责任支付你方索赔金额的证据。</w:t>
      </w:r>
    </w:p>
    <w:p>
      <w:pPr>
        <w:pStyle w:val="null3"/>
        <w:ind w:firstLine="480"/>
      </w:pPr>
      <w:r>
        <w:rPr/>
        <w:t>(三)索赔通知文件必须在本保函有效期内到达以下地址：</w:t>
      </w:r>
    </w:p>
    <w:p>
      <w:pPr>
        <w:pStyle w:val="null3"/>
        <w:ind w:firstLine="480"/>
      </w:pPr>
      <w:r>
        <w:rPr/>
        <w:t>__________________________________________________。</w:t>
      </w:r>
    </w:p>
    <w:p>
      <w:pPr>
        <w:pStyle w:val="null3"/>
        <w:ind w:firstLine="480"/>
      </w:pPr>
      <w:r>
        <w:rPr/>
        <w:t>五、本保函保证金额将随被保证人逐步履行保函项下合同约定或法定的义务以及我方按你方索赔通知文件要求分次支付而相应递减。</w:t>
      </w:r>
    </w:p>
    <w:p>
      <w:pPr>
        <w:pStyle w:val="null3"/>
        <w:ind w:firstLine="480"/>
      </w:pPr>
      <w:r>
        <w:rPr/>
        <w:t>六、本保函项下的权利不得转让，不得设定担保。受益人未经我方书面同意转让本保函或其项下任何权利，我方在本保函项下的义务与责任全部消灭。</w:t>
      </w:r>
    </w:p>
    <w:p>
      <w:pPr>
        <w:pStyle w:val="null3"/>
        <w:ind w:firstLine="480"/>
      </w:pPr>
      <w:r>
        <w:rPr/>
        <w:t>七、本保函项下的合同或基础交易不成立、不生效、无效、被撤销、被解除，本保函无效;被保证人基于保函项下的合同或基础交易或其他原因的抗辩，我方均有权主张。</w:t>
      </w:r>
    </w:p>
    <w:p>
      <w:pPr>
        <w:pStyle w:val="null3"/>
        <w:ind w:firstLine="480"/>
      </w:pPr>
      <w:r>
        <w:rPr/>
        <w:t>八、因本保函发生争议协商解决不成，按以下第</w:t>
      </w:r>
      <w:r>
        <w:rPr>
          <w:u w:val="single"/>
        </w:rPr>
        <w:t xml:space="preserve"> (一)</w:t>
      </w:r>
      <w:r>
        <w:rPr/>
        <w:t>种方式解决:</w:t>
      </w:r>
    </w:p>
    <w:p>
      <w:pPr>
        <w:pStyle w:val="null3"/>
        <w:ind w:firstLine="480"/>
      </w:pPr>
      <w:r>
        <w:rPr/>
        <w:t>(一)向我方所在地的人民法院起诉。</w:t>
      </w:r>
    </w:p>
    <w:p>
      <w:pPr>
        <w:pStyle w:val="null3"/>
        <w:ind w:firstLine="480"/>
      </w:pPr>
      <w:r>
        <w:rPr/>
        <w:t>(二)提交</w:t>
      </w:r>
      <w:r>
        <w:rPr>
          <w:u w:val="single"/>
        </w:rPr>
        <w:t xml:space="preserve"> 此栏空白 </w:t>
      </w:r>
      <w:r>
        <w:rPr/>
        <w:t>仲裁委员会(仲裁地点为此栏空白)按照申请仲裁时该会现行有效的仲裁规则进行仲裁。仲裁裁决是终局的，对双方均有约束力。</w:t>
      </w:r>
    </w:p>
    <w:p>
      <w:pPr>
        <w:pStyle w:val="null3"/>
        <w:ind w:firstLine="480"/>
      </w:pPr>
      <w:r>
        <w:rPr/>
        <w:t>九、本保函适用中华人民共和国法律。</w:t>
      </w:r>
    </w:p>
    <w:p>
      <w:pPr>
        <w:pStyle w:val="null3"/>
        <w:ind w:firstLine="480"/>
      </w:pPr>
      <w:r>
        <w:rPr/>
        <w:t>十、其他条款:</w:t>
      </w:r>
    </w:p>
    <w:p>
      <w:pPr>
        <w:pStyle w:val="null3"/>
        <w:ind w:firstLine="480"/>
      </w:pPr>
      <w:r>
        <w:rPr/>
        <w:t>1.本保函有效期届满或提前终止，本保函自动失效，我方在本保函项下的义务与责任自动全部消灭，此后提出的任何索赔均为无效索赔，我方无义务作出任何赔付。</w:t>
      </w:r>
    </w:p>
    <w:p>
      <w:pPr>
        <w:pStyle w:val="null3"/>
        <w:ind w:firstLine="480"/>
      </w:pPr>
      <w:r>
        <w:rPr/>
        <w:t>2.所有索赔通知必须在我方工作时间内到达本保函规定的地址。</w:t>
      </w:r>
    </w:p>
    <w:p>
      <w:pPr>
        <w:pStyle w:val="null3"/>
        <w:ind w:firstLine="480"/>
      </w:pPr>
      <w:r>
        <w:rPr/>
        <w:t>十一、本保函自我方盖章之日起生效。</w:t>
      </w:r>
    </w:p>
    <w:p>
      <w:pPr>
        <w:pStyle w:val="null3"/>
      </w:pPr>
      <w:r>
        <w:rPr/>
        <w:t>保证人：___________(盖章)</w:t>
      </w:r>
    </w:p>
    <w:p>
      <w:pPr>
        <w:pStyle w:val="null3"/>
      </w:pPr>
      <w:r>
        <w:rPr/>
        <w:t>联系地址：_______________</w:t>
      </w:r>
    </w:p>
    <w:p>
      <w:pPr>
        <w:pStyle w:val="null3"/>
      </w:pPr>
      <w:r>
        <w:rPr/>
        <w:t>联系电话：_______________</w:t>
      </w:r>
    </w:p>
    <w:p>
      <w:pPr>
        <w:pStyle w:val="null3"/>
      </w:pPr>
      <w:r>
        <w:rPr/>
        <w:t>开立日期：___年___月___日</w:t>
      </w:r>
    </w:p>
    <w:p>
      <w:pPr>
        <w:pStyle w:val="null3"/>
        <w:jc w:val="center"/>
        <w:outlineLvl w:val="3"/>
      </w:pPr>
      <w:r>
        <w:rPr>
          <w:sz w:val="24"/>
          <w:b/>
        </w:rPr>
        <w:t>采购合同履约保险凭证</w:t>
      </w:r>
    </w:p>
    <w:p>
      <w:pPr>
        <w:pStyle w:val="null3"/>
      </w:pPr>
      <w:r>
        <w:rPr/>
        <w:t>致被保险人__________：</w:t>
      </w:r>
    </w:p>
    <w:p>
      <w:pPr>
        <w:pStyle w:val="null3"/>
        <w:ind w:firstLine="480"/>
      </w:pPr>
      <w:r>
        <w:rPr/>
        <w:t>鉴于你方____________（招标方/被保险人）接受投保人____________（投标方）参加____________（采购）项目的投标，向投保人签发中标通知书，投保人在我公司投保《采购合同履约保证保险》，我公司接受投保人的请求，在保险责任范围内，愿意就投保人履行与你方订立的采购合同，向你方提供如下保证保险：</w:t>
      </w:r>
    </w:p>
    <w:p>
      <w:pPr>
        <w:pStyle w:val="null3"/>
        <w:ind w:firstLine="480"/>
      </w:pPr>
      <w:r>
        <w:rPr/>
        <w:t>一、我公司对上述采购项目出具的《采购合同履约保证保险》保单号：</w:t>
      </w:r>
    </w:p>
    <w:p>
      <w:pPr>
        <w:pStyle w:val="null3"/>
        <w:ind w:firstLine="480"/>
      </w:pPr>
      <w:r>
        <w:rPr/>
        <w:t>二、上述保单项下我公司的保险金额（最高限额）：人民币 （￥： 元）</w:t>
      </w:r>
    </w:p>
    <w:p>
      <w:pPr>
        <w:pStyle w:val="null3"/>
        <w:ind w:firstLine="480"/>
      </w:pPr>
      <w:r>
        <w:rPr/>
        <w:t>上述全部保险单的保险金额随投保人逐步履行采购合同约定的义务或我公司的赔付而递减。</w:t>
      </w:r>
    </w:p>
    <w:p>
      <w:pPr>
        <w:pStyle w:val="null3"/>
        <w:ind w:firstLine="480"/>
      </w:pPr>
      <w:r>
        <w:rPr/>
        <w:t>三、本保险的保险期间自____年___月___日___时起至___年___月___日___时止，共计___天。</w:t>
      </w:r>
    </w:p>
    <w:p>
      <w:pPr>
        <w:pStyle w:val="null3"/>
        <w:ind w:firstLine="480"/>
      </w:pPr>
      <w:r>
        <w:rPr/>
        <w:t>四、本保险合同仅承担履约保证责任：在本保险期限内，供应商在《采购合同》的履约过程中，因下列情形给你方造成直接损失的，在收到你方提交的符合保险合同约定的全部条件的书面文件，我公司依据保险合同有关约定并与你方达成一致赔偿意见后</w:t>
      </w:r>
      <w:r>
        <w:rPr>
          <w:u w:val="single"/>
        </w:rPr>
        <w:t xml:space="preserve"> 30 </w:t>
      </w:r>
      <w:r>
        <w:rPr/>
        <w:t>个工作日内以上述保险金额为限，支付你方索赔金额。</w:t>
      </w:r>
    </w:p>
    <w:p>
      <w:pPr>
        <w:pStyle w:val="null3"/>
        <w:ind w:firstLine="480"/>
      </w:pPr>
      <w:r>
        <w:rPr/>
        <w:t>（一）投保人未按照采购合同约定的时间、地点交付采购标的；</w:t>
      </w:r>
    </w:p>
    <w:p>
      <w:pPr>
        <w:pStyle w:val="null3"/>
        <w:ind w:firstLine="480"/>
      </w:pPr>
      <w:r>
        <w:rPr/>
        <w:t>（二）投保人供应采购标的的规格、型号、数量、质量等不符合《采购合同》的约定。</w:t>
      </w:r>
    </w:p>
    <w:p>
      <w:pPr>
        <w:pStyle w:val="null3"/>
        <w:ind w:firstLine="480"/>
      </w:pPr>
      <w:r>
        <w:rPr/>
        <w:t>五、索赔文件</w:t>
      </w:r>
    </w:p>
    <w:p>
      <w:pPr>
        <w:pStyle w:val="null3"/>
        <w:ind w:firstLine="480"/>
      </w:pPr>
      <w:r>
        <w:rPr/>
        <w:t>（一）经被保险人有权人签字、加盖被保险人公章的书面索赔声明正本，索赔声明须注明本保险凭证对应的保单号并申明如下事实：</w:t>
      </w:r>
    </w:p>
    <w:p>
      <w:pPr>
        <w:pStyle w:val="null3"/>
        <w:ind w:firstLine="480"/>
      </w:pPr>
      <w:r>
        <w:rPr/>
        <w:t>（1）投保人未履行采购合同相关义务；</w:t>
      </w:r>
    </w:p>
    <w:p>
      <w:pPr>
        <w:pStyle w:val="null3"/>
        <w:ind w:firstLine="480"/>
      </w:pPr>
      <w:r>
        <w:rPr/>
        <w:t>（2）投保人的违约事实。</w:t>
      </w:r>
    </w:p>
    <w:p>
      <w:pPr>
        <w:pStyle w:val="null3"/>
        <w:ind w:firstLine="480"/>
      </w:pPr>
      <w:r>
        <w:rPr/>
        <w:t>（二）保险单正本；</w:t>
      </w:r>
    </w:p>
    <w:p>
      <w:pPr>
        <w:pStyle w:val="null3"/>
        <w:ind w:firstLine="480"/>
      </w:pPr>
      <w:r>
        <w:rPr/>
        <w:t>（三）《采购合同》副本及与采购项目进展、质量、缺陷有关的证明文件（包括《中标通知书》、投标书及其附录、会议纪要、其他合同文件等）；</w:t>
      </w:r>
    </w:p>
    <w:p>
      <w:pPr>
        <w:pStyle w:val="null3"/>
        <w:ind w:firstLine="480"/>
      </w:pPr>
      <w:r>
        <w:rPr/>
        <w:t>（四）保险人要求投保人、被保险人所能提供的与确认保险事故的性质、原因、损失程度等有关的其他证明和资料；</w:t>
      </w:r>
    </w:p>
    <w:p>
      <w:pPr>
        <w:pStyle w:val="null3"/>
        <w:ind w:firstLine="480"/>
      </w:pPr>
      <w:r>
        <w:rPr/>
        <w:t>（五）仲裁机构出具的裁决书或法院出具的裁定书、判决书等生效法律文书（适用于仲裁或诉讼确认损失的方式）；</w:t>
      </w:r>
    </w:p>
    <w:p>
      <w:pPr>
        <w:pStyle w:val="null3"/>
        <w:ind w:firstLine="480"/>
      </w:pPr>
      <w:r>
        <w:rPr/>
        <w:t>六、未经保险人书面同意，本保险凭证与保险合同不得转让、质押，否则保险人在本保险凭证与保险合同项下的保险责任自动解除。</w:t>
      </w:r>
    </w:p>
    <w:p>
      <w:pPr>
        <w:pStyle w:val="null3"/>
        <w:ind w:firstLine="480"/>
      </w:pPr>
      <w:r>
        <w:rPr/>
        <w:t>七、本保证保险发生争议协商解决不成，向保险人所在地有管辖权的人民法院提起诉讼。</w:t>
      </w:r>
    </w:p>
    <w:p>
      <w:pPr>
        <w:pStyle w:val="null3"/>
        <w:ind w:firstLine="480"/>
      </w:pPr>
      <w:r>
        <w:rPr/>
        <w:t>八、本保证保险适用的保险条款为《_______________________》。</w:t>
      </w:r>
    </w:p>
    <w:p>
      <w:pPr>
        <w:pStyle w:val="null3"/>
        <w:ind w:firstLine="480"/>
      </w:pPr>
      <w:r>
        <w:rPr/>
        <w:t>九、保险责任免除及其他本保险凭证未载明事宜以保险合同约定为准。</w:t>
      </w:r>
    </w:p>
    <w:p>
      <w:pPr>
        <w:pStyle w:val="null3"/>
        <w:ind w:firstLine="480"/>
      </w:pPr>
      <w:r>
        <w:rPr/>
        <w:t>十、本保险凭证自保险人加盖保单专用章起生效。</w:t>
      </w:r>
    </w:p>
    <w:p>
      <w:pPr>
        <w:pStyle w:val="null3"/>
      </w:pPr>
      <w:r>
        <w:rPr/>
        <w:t>保证人：__________(盖章)</w:t>
      </w:r>
    </w:p>
    <w:p>
      <w:pPr>
        <w:pStyle w:val="null3"/>
      </w:pPr>
      <w:r>
        <w:rPr/>
        <w:t>地址：__________________</w:t>
      </w:r>
    </w:p>
    <w:p>
      <w:pPr>
        <w:pStyle w:val="null3"/>
      </w:pPr>
      <w:r>
        <w:rPr/>
        <w:t>电话：__________________</w:t>
      </w:r>
    </w:p>
    <w:p>
      <w:pPr>
        <w:pStyle w:val="null3"/>
      </w:pPr>
      <w:r>
        <w:rPr/>
        <w:t>开立日期：____年__月__日</w:t>
      </w:r>
    </w:p>
    <w:p w14:paraId="6CD069BC">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Helvetica Neue">
    <w:panose1 w:val="02000503000000020004"/>
    <w:charset w:val="00"/>
    <w:family w:val="auto"/>
    <w:pitch w:val="default"/>
    <w:sig w:usb0="E50002FF" w:usb1="500079DB" w:usb2="00000010" w:usb3="00000000" w:csb0="0000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28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23FB55E8"/>
    <w:rsid w:val="53B52B8D"/>
    <w:rsid w:val="5A7E2464"/>
    <w:rsid w:val="77F79321"/>
    <w:rsid w:val="7F7C4879"/>
    <w:rsid w:val="7FFDAA95"/>
    <w:rsid w:val="BBBF7779"/>
    <w:rsid w:val="FAF3070D"/>
    <w:rsid w:val="FBD72E15"/>
    <w:rsid w:val="FBF94665"/>
    <w:rsid w:val="FDF971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Words>
  <Characters>11</Characters>
  <Lines>0</Lines>
  <Paragraphs>0</Paragraphs>
  <TotalTime>2</TotalTime>
  <ScaleCrop>false</ScaleCrop>
  <LinksUpToDate>false</LinksUpToDate>
  <CharactersWithSpaces>11</CharactersWithSpaces>
  <Application>WPS Office_12.1.21861.21861_F1E327BC-269C-435d-A152-05C5408002CA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2022-04-10T11:57:00Z</dcterms:created>
  <dc:creator>广东政府采购智慧云平台</dc:creator>
  <dcterms:modified xsi:type="dcterms:W3CDTF">2025-08-15T17:31:23Z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2052-12.1.21861.21861</vt:lpwstr>
  </property>
  <property fmtid="{D5CDD505-2E9C-101B-9397-08002B2CF9AE}" pid="3" name="ICV">
    <vt:lpwstr>84AAD3F223FF2AC521F59E68BCC7017B_42</vt:lpwstr>
  </property>
</Properties>
</file>